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27D1F">
      <w:pPr>
        <w:spacing w:line="600" w:lineRule="exact"/>
        <w:jc w:val="left"/>
        <w:rPr>
          <w:rFonts w:hint="eastAsia" w:ascii="黑体" w:hAnsi="黑体" w:eastAsia="黑体" w:cs="黑体"/>
          <w:color w:val="000000" w:themeColor="text1"/>
          <w:szCs w:val="32"/>
          <w:lang w:val="en-US" w:eastAsia="zh-CN"/>
          <w14:textFill>
            <w14:solidFill>
              <w14:schemeClr w14:val="tx1"/>
            </w14:solidFill>
          </w14:textFill>
        </w:rPr>
      </w:pPr>
      <w:r>
        <w:rPr>
          <w:rFonts w:hint="eastAsia" w:ascii="黑体" w:hAnsi="黑体" w:eastAsia="黑体" w:cs="黑体"/>
          <w:color w:val="000000" w:themeColor="text1"/>
          <w:szCs w:val="32"/>
          <w14:textFill>
            <w14:solidFill>
              <w14:schemeClr w14:val="tx1"/>
            </w14:solidFill>
          </w14:textFill>
        </w:rPr>
        <w:t>附件</w:t>
      </w:r>
      <w:r>
        <w:rPr>
          <w:rFonts w:hint="eastAsia" w:ascii="黑体" w:hAnsi="黑体" w:eastAsia="黑体" w:cs="黑体"/>
          <w:color w:val="000000" w:themeColor="text1"/>
          <w:szCs w:val="32"/>
          <w:lang w:val="en-US" w:eastAsia="zh-CN"/>
          <w14:textFill>
            <w14:solidFill>
              <w14:schemeClr w14:val="tx1"/>
            </w14:solidFill>
          </w14:textFill>
        </w:rPr>
        <w:t>1</w:t>
      </w:r>
      <w:bookmarkStart w:id="9" w:name="_GoBack"/>
      <w:bookmarkEnd w:id="9"/>
    </w:p>
    <w:p w14:paraId="5E8CB1AC">
      <w:pPr>
        <w:spacing w:line="600" w:lineRule="exact"/>
        <w:jc w:val="center"/>
        <w:rPr>
          <w:rFonts w:hint="eastAsia" w:ascii="小标宋" w:hAnsi="小标宋" w:eastAsia="小标宋" w:cs="小标宋"/>
          <w:bCs w:val="0"/>
          <w:sz w:val="44"/>
          <w:szCs w:val="44"/>
        </w:rPr>
      </w:pPr>
      <w:r>
        <w:rPr>
          <w:rFonts w:hint="eastAsia" w:ascii="小标宋" w:hAnsi="小标宋" w:eastAsia="小标宋" w:cs="小标宋"/>
          <w:bCs w:val="0"/>
          <w:sz w:val="44"/>
          <w:szCs w:val="44"/>
        </w:rPr>
        <w:t>广东省无障碍环境建设条例</w:t>
      </w:r>
    </w:p>
    <w:p w14:paraId="39D71DC5">
      <w:pPr>
        <w:snapToGrid w:val="0"/>
        <w:spacing w:line="600" w:lineRule="exact"/>
        <w:jc w:val="center"/>
        <w:rPr>
          <w:rFonts w:ascii="楷体_GB2312" w:hAnsi="Times New Roman" w:eastAsia="楷体_GB2312"/>
          <w:color w:val="000000" w:themeColor="text1"/>
          <w:szCs w:val="32"/>
          <w14:textFill>
            <w14:solidFill>
              <w14:schemeClr w14:val="tx1"/>
            </w14:solidFill>
          </w14:textFill>
        </w:rPr>
      </w:pPr>
      <w:r>
        <w:rPr>
          <w:rFonts w:hint="eastAsia" w:ascii="楷体_GB2312" w:hAnsi="Times New Roman" w:eastAsia="楷体_GB2312"/>
          <w:color w:val="000000" w:themeColor="text1"/>
          <w:szCs w:val="32"/>
          <w14:textFill>
            <w14:solidFill>
              <w14:schemeClr w14:val="tx1"/>
            </w14:solidFill>
          </w14:textFill>
        </w:rPr>
        <w:t>（征求意见稿）</w:t>
      </w:r>
    </w:p>
    <w:p w14:paraId="37A957C3">
      <w:pPr>
        <w:spacing w:line="600" w:lineRule="exact"/>
        <w:ind w:firstLine="640" w:firstLineChars="200"/>
        <w:rPr>
          <w:rFonts w:ascii="黑体" w:hAnsi="黑体" w:eastAsia="黑体" w:cs="Noto Music"/>
          <w:bCs/>
          <w:color w:val="000000" w:themeColor="text1"/>
          <w:szCs w:val="32"/>
          <w14:textFill>
            <w14:solidFill>
              <w14:schemeClr w14:val="tx1"/>
            </w14:solidFill>
          </w14:textFill>
        </w:rPr>
      </w:pPr>
    </w:p>
    <w:p w14:paraId="703F40DD">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黑体" w:hAnsi="黑体" w:eastAsia="黑体" w:cs="Noto Music"/>
          <w:bCs/>
          <w:color w:val="000000" w:themeColor="text1"/>
          <w:szCs w:val="32"/>
          <w14:textFill>
            <w14:solidFill>
              <w14:schemeClr w14:val="tx1"/>
            </w14:solidFill>
          </w14:textFill>
        </w:rPr>
        <w:t>第一条【立法目的】</w:t>
      </w:r>
      <w:r>
        <w:rPr>
          <w:rFonts w:hint="eastAsia" w:ascii="仿宋_GB2312" w:hAnsi="Noto Music" w:cs="Noto Music"/>
          <w:color w:val="000000" w:themeColor="text1"/>
          <w:szCs w:val="32"/>
          <w14:textFill>
            <w14:solidFill>
              <w14:schemeClr w14:val="tx1"/>
            </w14:solidFill>
          </w14:textFill>
        </w:rPr>
        <w:t xml:space="preserve">  为了加强无障碍环境建设，保障残疾人、老年人等社会成员平等、充分、便捷地参与社会生活，促进社会全体人员共享经济社会发展成果，弘扬社会主义核心价值观，适应粤港澳大湾区高质量发展要求，根据《中华人民共和国无障碍环境建设法》等有关法律、法规，结合本省实际，制定本条例。</w:t>
      </w:r>
    </w:p>
    <w:p w14:paraId="7C9E1597">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黑体" w:hAnsi="黑体" w:eastAsia="黑体" w:cs="Noto Music"/>
          <w:color w:val="000000" w:themeColor="text1"/>
          <w:szCs w:val="32"/>
          <w14:textFill>
            <w14:solidFill>
              <w14:schemeClr w14:val="tx1"/>
            </w14:solidFill>
          </w14:textFill>
        </w:rPr>
        <w:t>第二条【适用范围及对象】</w:t>
      </w:r>
      <w:r>
        <w:rPr>
          <w:rFonts w:ascii="仿宋_GB2312" w:hAnsi="Noto Music" w:cs="Noto Music"/>
          <w:color w:val="000000" w:themeColor="text1"/>
          <w:szCs w:val="32"/>
          <w14:textFill>
            <w14:solidFill>
              <w14:schemeClr w14:val="tx1"/>
            </w14:solidFill>
          </w14:textFill>
        </w:rPr>
        <w:t xml:space="preserve">  本</w:t>
      </w:r>
      <w:r>
        <w:rPr>
          <w:rFonts w:hint="eastAsia" w:ascii="仿宋_GB2312" w:hAnsi="Noto Music" w:cs="Noto Music"/>
          <w:color w:val="000000" w:themeColor="text1"/>
          <w:szCs w:val="32"/>
          <w14:textFill>
            <w14:solidFill>
              <w14:schemeClr w14:val="tx1"/>
            </w14:solidFill>
          </w14:textFill>
        </w:rPr>
        <w:t>条例</w:t>
      </w:r>
      <w:r>
        <w:rPr>
          <w:rFonts w:ascii="仿宋_GB2312" w:hAnsi="Noto Music" w:cs="Noto Music"/>
          <w:color w:val="000000" w:themeColor="text1"/>
          <w:szCs w:val="32"/>
          <w14:textFill>
            <w14:solidFill>
              <w14:schemeClr w14:val="tx1"/>
            </w14:solidFill>
          </w14:textFill>
        </w:rPr>
        <w:t>适用于本省行政区域内无障碍</w:t>
      </w:r>
      <w:r>
        <w:rPr>
          <w:rFonts w:hint="eastAsia" w:ascii="仿宋_GB2312" w:hAnsi="Noto Music" w:cs="Noto Music"/>
          <w:color w:val="000000" w:themeColor="text1"/>
          <w:szCs w:val="32"/>
          <w14:textFill>
            <w14:solidFill>
              <w14:schemeClr w14:val="tx1"/>
            </w14:solidFill>
          </w14:textFill>
        </w:rPr>
        <w:t>环境</w:t>
      </w:r>
      <w:r>
        <w:rPr>
          <w:rFonts w:ascii="仿宋_GB2312" w:hAnsi="Noto Music" w:cs="Noto Music"/>
          <w:color w:val="000000" w:themeColor="text1"/>
          <w:szCs w:val="32"/>
          <w14:textFill>
            <w14:solidFill>
              <w14:schemeClr w14:val="tx1"/>
            </w14:solidFill>
          </w14:textFill>
        </w:rPr>
        <w:t>建设及相关活动。</w:t>
      </w:r>
    </w:p>
    <w:p w14:paraId="0F9F2660">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本条例所称无障碍环境建设，是指为便于残疾人、老年人、伤病患者、孕妇和儿童等社会成员自主安全地通行道路、出入建筑物</w:t>
      </w:r>
      <w:r>
        <w:rPr>
          <w:rFonts w:hint="eastAsia" w:ascii="仿宋_GB2312" w:hAnsi="仿宋_GB2312" w:cs="仿宋_GB2312"/>
          <w:color w:val="000000" w:themeColor="text1"/>
          <w:szCs w:val="32"/>
          <w:lang w:val="zh-CN"/>
          <w14:textFill>
            <w14:solidFill>
              <w14:schemeClr w14:val="tx1"/>
            </w14:solidFill>
          </w14:textFill>
        </w:rPr>
        <w:t>以及使用其附属设施</w:t>
      </w:r>
      <w:r>
        <w:rPr>
          <w:rFonts w:hint="eastAsia" w:ascii="仿宋_GB2312" w:hAnsi="Noto Music" w:cs="Noto Music"/>
          <w:color w:val="000000" w:themeColor="text1"/>
          <w:szCs w:val="32"/>
          <w14:textFill>
            <w14:solidFill>
              <w14:schemeClr w14:val="tx1"/>
            </w14:solidFill>
          </w14:textFill>
        </w:rPr>
        <w:t>、搭乘公共交通运输工具，</w:t>
      </w:r>
      <w:r>
        <w:rPr>
          <w:rFonts w:hint="eastAsia" w:ascii="仿宋_GB2312" w:hAnsi="仿宋_GB2312" w:cs="仿宋_GB2312"/>
          <w:color w:val="000000" w:themeColor="text1"/>
          <w:szCs w:val="32"/>
          <w:lang w:val="zh-CN"/>
          <w14:textFill>
            <w14:solidFill>
              <w14:schemeClr w14:val="tx1"/>
            </w14:solidFill>
          </w14:textFill>
        </w:rPr>
        <w:t>获取、使用和交流</w:t>
      </w:r>
      <w:r>
        <w:rPr>
          <w:rFonts w:hint="eastAsia" w:ascii="仿宋_GB2312" w:hAnsi="Noto Music" w:cs="Noto Music"/>
          <w:color w:val="000000" w:themeColor="text1"/>
          <w:szCs w:val="32"/>
          <w14:textFill>
            <w14:solidFill>
              <w14:schemeClr w14:val="tx1"/>
            </w14:solidFill>
          </w14:textFill>
        </w:rPr>
        <w:t>信息，获得社会服务、享受公共服务和家居生活等进行的相关活动。</w:t>
      </w:r>
    </w:p>
    <w:p w14:paraId="03DA585B">
      <w:pPr>
        <w:spacing w:line="600" w:lineRule="exact"/>
        <w:ind w:firstLine="640" w:firstLineChars="200"/>
        <w:rPr>
          <w:rFonts w:ascii="仿宋_GB2312"/>
          <w:color w:val="000000" w:themeColor="text1"/>
          <w:szCs w:val="32"/>
          <w14:textFill>
            <w14:solidFill>
              <w14:schemeClr w14:val="tx1"/>
            </w14:solidFill>
          </w14:textFill>
        </w:rPr>
      </w:pPr>
      <w:r>
        <w:rPr>
          <w:rFonts w:hint="eastAsia" w:ascii="黑体" w:hAnsi="黑体" w:eastAsia="黑体" w:cs="Noto Music"/>
          <w:color w:val="000000" w:themeColor="text1"/>
          <w:szCs w:val="32"/>
          <w14:textFill>
            <w14:solidFill>
              <w14:schemeClr w14:val="tx1"/>
            </w14:solidFill>
          </w14:textFill>
        </w:rPr>
        <w:t xml:space="preserve">第三条【基本原则】 </w:t>
      </w:r>
      <w:r>
        <w:rPr>
          <w:rFonts w:ascii="仿宋_GB2312" w:hAnsi="Noto Music" w:cs="Noto Music"/>
          <w:color w:val="000000" w:themeColor="text1"/>
          <w:szCs w:val="32"/>
          <w14:textFill>
            <w14:solidFill>
              <w14:schemeClr w14:val="tx1"/>
            </w14:solidFill>
          </w14:textFill>
        </w:rPr>
        <w:t xml:space="preserve"> </w:t>
      </w:r>
      <w:r>
        <w:rPr>
          <w:rFonts w:hint="eastAsia" w:ascii="仿宋_GB2312" w:hAnsi="Noto Music" w:cs="Noto Music"/>
          <w:color w:val="000000" w:themeColor="text1"/>
          <w:szCs w:val="32"/>
          <w14:textFill>
            <w14:solidFill>
              <w14:schemeClr w14:val="tx1"/>
            </w14:solidFill>
          </w14:textFill>
        </w:rPr>
        <w:t>无障碍环境建设应当坚持中国共产党的领导，发挥政府主导作用，调动市场主体积极性，引导社会组织和公众广泛参与，遵循系统协同、</w:t>
      </w:r>
      <w:r>
        <w:rPr>
          <w:rFonts w:hint="eastAsia" w:ascii="仿宋_GB2312"/>
          <w:color w:val="000000" w:themeColor="text1"/>
          <w:szCs w:val="32"/>
          <w14:textFill>
            <w14:solidFill>
              <w14:schemeClr w14:val="tx1"/>
            </w14:solidFill>
          </w14:textFill>
        </w:rPr>
        <w:t>安全便利、实用易行、</w:t>
      </w:r>
      <w:r>
        <w:rPr>
          <w:rFonts w:hint="eastAsia" w:ascii="仿宋_GB2312"/>
          <w:color w:val="000000" w:themeColor="text1"/>
          <w:szCs w:val="32"/>
          <w:lang w:val="en-US" w:eastAsia="zh-CN"/>
          <w14:textFill>
            <w14:solidFill>
              <w14:schemeClr w14:val="tx1"/>
            </w14:solidFill>
          </w14:textFill>
        </w:rPr>
        <w:t>普遍</w:t>
      </w:r>
      <w:r>
        <w:rPr>
          <w:rFonts w:hint="eastAsia" w:ascii="仿宋_GB2312"/>
          <w:color w:val="000000" w:themeColor="text1"/>
          <w:szCs w:val="32"/>
          <w14:textFill>
            <w14:solidFill>
              <w14:schemeClr w14:val="tx1"/>
            </w14:solidFill>
          </w14:textFill>
        </w:rPr>
        <w:t>受益的原则。</w:t>
      </w:r>
    </w:p>
    <w:p w14:paraId="7A12C5B3">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黑体" w:hAnsi="黑体" w:eastAsia="黑体" w:cs="Noto Music"/>
          <w:color w:val="000000" w:themeColor="text1"/>
          <w:szCs w:val="32"/>
          <w14:textFill>
            <w14:solidFill>
              <w14:schemeClr w14:val="tx1"/>
            </w14:solidFill>
          </w14:textFill>
        </w:rPr>
        <w:t>第四条【政府职责】</w:t>
      </w:r>
      <w:r>
        <w:rPr>
          <w:rFonts w:hint="eastAsia" w:ascii="仿宋_GB2312" w:hAnsi="Noto Music" w:cs="Noto Music"/>
          <w:color w:val="000000" w:themeColor="text1"/>
          <w:szCs w:val="32"/>
          <w14:textFill>
            <w14:solidFill>
              <w14:schemeClr w14:val="tx1"/>
            </w14:solidFill>
          </w14:textFill>
        </w:rPr>
        <w:t xml:space="preserve"> </w:t>
      </w:r>
      <w:r>
        <w:rPr>
          <w:rFonts w:ascii="仿宋_GB2312" w:hAnsi="Noto Music" w:cs="Noto Music"/>
          <w:color w:val="000000" w:themeColor="text1"/>
          <w:szCs w:val="32"/>
          <w14:textFill>
            <w14:solidFill>
              <w14:schemeClr w14:val="tx1"/>
            </w14:solidFill>
          </w14:textFill>
        </w:rPr>
        <w:t xml:space="preserve"> </w:t>
      </w:r>
      <w:r>
        <w:rPr>
          <w:rFonts w:hint="eastAsia" w:ascii="仿宋_GB2312" w:hAnsi="Noto Music" w:cs="Noto Music"/>
          <w:color w:val="000000" w:themeColor="text1"/>
          <w:szCs w:val="32"/>
          <w14:textFill>
            <w14:solidFill>
              <w14:schemeClr w14:val="tx1"/>
            </w14:solidFill>
          </w14:textFill>
        </w:rPr>
        <w:t>县级以上人民政府应当加强对无障碍环境建设工作的领导，统筹协调和督促指导有关部门在各自职责范围内做好无障碍环境建设工作，并将所需经费纳入本级财政预算。</w:t>
      </w:r>
    </w:p>
    <w:p w14:paraId="5CCA8CF1">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乡镇人民政府、街道办事处应当协助有关部门做好无障碍环境建设工作，督促无障碍设施管理责任人加强对无障碍设施的日常巡查和履行维护管理责任，保障无障碍设施正常使用。</w:t>
      </w:r>
    </w:p>
    <w:p w14:paraId="4A9768CA">
      <w:pPr>
        <w:spacing w:line="600" w:lineRule="exact"/>
        <w:ind w:firstLine="640" w:firstLineChars="200"/>
        <w:rPr>
          <w:rFonts w:ascii="仿宋_GB2312" w:hAnsi="Noto Music" w:cs="Noto Music"/>
          <w:color w:val="000000" w:themeColor="text1"/>
          <w:szCs w:val="32"/>
          <w14:textFill>
            <w14:solidFill>
              <w14:schemeClr w14:val="tx1"/>
            </w14:solidFill>
          </w14:textFill>
        </w:rPr>
      </w:pPr>
      <w:bookmarkStart w:id="0" w:name="OLE_LINK1"/>
      <w:r>
        <w:rPr>
          <w:rFonts w:hint="eastAsia" w:ascii="黑体" w:hAnsi="黑体" w:eastAsia="黑体" w:cs="Noto Music"/>
          <w:color w:val="000000" w:themeColor="text1"/>
          <w:szCs w:val="32"/>
          <w14:textFill>
            <w14:solidFill>
              <w14:schemeClr w14:val="tx1"/>
            </w14:solidFill>
          </w14:textFill>
        </w:rPr>
        <w:t xml:space="preserve">第五条【部门职责】 </w:t>
      </w:r>
      <w:r>
        <w:rPr>
          <w:rFonts w:ascii="仿宋_GB2312" w:hAnsi="Noto Music" w:cs="Noto Music"/>
          <w:color w:val="000000" w:themeColor="text1"/>
          <w:szCs w:val="32"/>
          <w14:textFill>
            <w14:solidFill>
              <w14:schemeClr w14:val="tx1"/>
            </w14:solidFill>
          </w14:textFill>
        </w:rPr>
        <w:t xml:space="preserve"> </w:t>
      </w:r>
      <w:r>
        <w:rPr>
          <w:rFonts w:hint="eastAsia" w:ascii="仿宋_GB2312" w:hAnsi="Noto Music" w:cs="Noto Music"/>
          <w:color w:val="000000" w:themeColor="text1"/>
          <w:szCs w:val="32"/>
          <w14:textFill>
            <w14:solidFill>
              <w14:schemeClr w14:val="tx1"/>
            </w14:solidFill>
          </w14:textFill>
        </w:rPr>
        <w:t>县级以上人民政府住房城乡建设部门负责无障碍设施工程建设活动的指导、推进和监督管理工作。</w:t>
      </w:r>
    </w:p>
    <w:p w14:paraId="69E35959">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民政部门负责</w:t>
      </w:r>
      <w:r>
        <w:rPr>
          <w:rFonts w:ascii="仿宋_GB2312" w:hAnsi="Noto Music" w:cs="Noto Music"/>
          <w:color w:val="000000" w:themeColor="text1"/>
          <w:szCs w:val="32"/>
          <w14:textFill>
            <w14:solidFill>
              <w14:schemeClr w14:val="tx1"/>
            </w14:solidFill>
          </w14:textFill>
        </w:rPr>
        <w:t>养老机构</w:t>
      </w:r>
      <w:r>
        <w:rPr>
          <w:rFonts w:hint="eastAsia" w:ascii="仿宋_GB2312" w:hAnsi="Noto Music" w:cs="Noto Music"/>
          <w:color w:val="000000" w:themeColor="text1"/>
          <w:szCs w:val="32"/>
          <w14:textFill>
            <w14:solidFill>
              <w14:schemeClr w14:val="tx1"/>
            </w14:solidFill>
          </w14:textFill>
        </w:rPr>
        <w:t>、儿童福利机构、精神卫生福利机构等无障碍环境建设的指导、推进和监督管理工作，</w:t>
      </w:r>
      <w:r>
        <w:rPr>
          <w:rFonts w:ascii="仿宋_GB2312" w:hAnsi="Noto Music" w:cs="Noto Music"/>
          <w:color w:val="000000" w:themeColor="text1"/>
          <w:szCs w:val="32"/>
          <w14:textFill>
            <w14:solidFill>
              <w14:schemeClr w14:val="tx1"/>
            </w14:solidFill>
          </w14:textFill>
        </w:rPr>
        <w:t>组织推动老年人家庭</w:t>
      </w:r>
      <w:r>
        <w:rPr>
          <w:rFonts w:hint="eastAsia" w:ascii="仿宋_GB2312" w:hAnsi="Noto Music" w:cs="Noto Music"/>
          <w:color w:val="000000" w:themeColor="text1"/>
          <w:szCs w:val="32"/>
          <w14:textFill>
            <w14:solidFill>
              <w14:schemeClr w14:val="tx1"/>
            </w14:solidFill>
          </w14:textFill>
        </w:rPr>
        <w:t>适老化改造。</w:t>
      </w:r>
    </w:p>
    <w:p w14:paraId="6810EAF3">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工业和信息化、通信管理、邮政、广播电视等部门按照各自职责负责无障碍环境建设的指导、推进和监督管理工作。</w:t>
      </w:r>
    </w:p>
    <w:p w14:paraId="248E83C6">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政务服务数据管理部门负责政务服务中心、政务服务数字化平台等无障碍建设的指导、推进和监督管理工作，推动无障碍信息交流在政务服务领域的应用。</w:t>
      </w:r>
    </w:p>
    <w:p w14:paraId="78B57FDB">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交通运输部门负责交通运输设施、公共交通工具无障碍设施工程建设活动和使用状况的指导、推进和监督管理工作。</w:t>
      </w:r>
    </w:p>
    <w:p w14:paraId="3DE20FBC">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自然资源部门结合国土空间规划、土地利用和建设用地管理职责，负责无障碍环境建设规划衔接、用地保障和监督管理工作。</w:t>
      </w:r>
    </w:p>
    <w:p w14:paraId="2017ADFC">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商务、文化和旅游部门负责商业、文化、旅游等场所无障碍环境建设的指导、推进和监督管理工作。</w:t>
      </w:r>
    </w:p>
    <w:p w14:paraId="3C1A5F58">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卫生健康部门负责医疗卫生机构等无障碍环境建设的指导、推进和监督管理工作。</w:t>
      </w:r>
    </w:p>
    <w:p w14:paraId="549E41E3">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教育、体育部门负责学校、</w:t>
      </w:r>
      <w:r>
        <w:rPr>
          <w:rFonts w:ascii="仿宋_GB2312" w:hAnsi="Noto Music" w:cs="Noto Music"/>
          <w:color w:val="000000" w:themeColor="text1"/>
          <w:szCs w:val="32"/>
          <w14:textFill>
            <w14:solidFill>
              <w14:schemeClr w14:val="tx1"/>
            </w14:solidFill>
          </w14:textFill>
        </w:rPr>
        <w:t>公共体育设施</w:t>
      </w:r>
      <w:r>
        <w:rPr>
          <w:rFonts w:hint="eastAsia" w:ascii="仿宋_GB2312" w:hAnsi="Noto Music" w:cs="Noto Music"/>
          <w:color w:val="000000" w:themeColor="text1"/>
          <w:szCs w:val="32"/>
          <w14:textFill>
            <w14:solidFill>
              <w14:schemeClr w14:val="tx1"/>
            </w14:solidFill>
          </w14:textFill>
        </w:rPr>
        <w:t>等无障碍环境建设的指导、推进和监督管理工作。</w:t>
      </w:r>
    </w:p>
    <w:p w14:paraId="7A706BDD">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农业农村部门负责乡村无障碍环境建设的指导、推进和监督管理工作。</w:t>
      </w:r>
    </w:p>
    <w:bookmarkEnd w:id="0"/>
    <w:p w14:paraId="28ED9842">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发展改革、公安、司法行政、应急管理、市场监督管理、金融管理、城市管理等部门，应当在各自职责范围内开展无障碍环境建设相关工作。</w:t>
      </w:r>
    </w:p>
    <w:p w14:paraId="606918D5">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黑体" w:hAnsi="黑体" w:eastAsia="黑体" w:cs="Noto Music"/>
          <w:color w:val="000000" w:themeColor="text1"/>
          <w:szCs w:val="32"/>
          <w14:textFill>
            <w14:solidFill>
              <w14:schemeClr w14:val="tx1"/>
            </w14:solidFill>
          </w14:textFill>
        </w:rPr>
        <w:t xml:space="preserve">第六条【社会组织职责】 </w:t>
      </w:r>
      <w:r>
        <w:rPr>
          <w:rFonts w:ascii="黑体" w:hAnsi="黑体" w:eastAsia="黑体" w:cs="Noto Music"/>
          <w:color w:val="000000" w:themeColor="text1"/>
          <w:szCs w:val="32"/>
          <w14:textFill>
            <w14:solidFill>
              <w14:schemeClr w14:val="tx1"/>
            </w14:solidFill>
          </w14:textFill>
        </w:rPr>
        <w:t xml:space="preserve"> </w:t>
      </w:r>
      <w:r>
        <w:rPr>
          <w:rFonts w:hint="eastAsia" w:ascii="仿宋_GB2312" w:hAnsi="Noto Music" w:cs="Noto Music"/>
          <w:color w:val="000000" w:themeColor="text1"/>
          <w:szCs w:val="32"/>
          <w14:textFill>
            <w14:solidFill>
              <w14:schemeClr w14:val="tx1"/>
            </w14:solidFill>
          </w14:textFill>
        </w:rPr>
        <w:t>残疾人联合会、负责老龄工作的机构等社会组织应当按照法律、法规和各自章程，协助各级人民政府及其有关部门开展无障碍环境建设工作。</w:t>
      </w:r>
    </w:p>
    <w:p w14:paraId="4EA3EA1F">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黑体" w:hAnsi="黑体" w:eastAsia="黑体" w:cs="Noto Music"/>
          <w:color w:val="000000" w:themeColor="text1"/>
          <w:szCs w:val="32"/>
          <w14:textFill>
            <w14:solidFill>
              <w14:schemeClr w14:val="tx1"/>
            </w14:solidFill>
          </w14:textFill>
        </w:rPr>
        <w:t xml:space="preserve">第七条【规划编制】 </w:t>
      </w:r>
      <w:r>
        <w:rPr>
          <w:rFonts w:ascii="黑体" w:hAnsi="黑体" w:eastAsia="黑体" w:cs="Noto Music"/>
          <w:color w:val="000000" w:themeColor="text1"/>
          <w:szCs w:val="32"/>
          <w14:textFill>
            <w14:solidFill>
              <w14:schemeClr w14:val="tx1"/>
            </w14:solidFill>
          </w14:textFill>
        </w:rPr>
        <w:t xml:space="preserve"> </w:t>
      </w:r>
      <w:r>
        <w:rPr>
          <w:rFonts w:hint="eastAsia" w:ascii="仿宋_GB2312" w:hAnsi="Noto Music" w:cs="Noto Music"/>
          <w:color w:val="000000" w:themeColor="text1"/>
          <w:szCs w:val="32"/>
          <w14:textFill>
            <w14:solidFill>
              <w14:schemeClr w14:val="tx1"/>
            </w14:solidFill>
          </w14:textFill>
        </w:rPr>
        <w:t>县级以上人民政府应当将无障碍环境建设纳入国民经济和社会发展规划以及国土空间规划，并</w:t>
      </w:r>
      <w:r>
        <w:rPr>
          <w:rFonts w:hint="eastAsia" w:ascii="仿宋_GB2312" w:hAnsi="Noto Music" w:cs="Noto Music"/>
          <w:color w:val="000000" w:themeColor="text1"/>
          <w:szCs w:val="32"/>
          <w:lang w:val="en-US" w:eastAsia="zh-CN"/>
          <w14:textFill>
            <w14:solidFill>
              <w14:schemeClr w14:val="tx1"/>
            </w14:solidFill>
          </w14:textFill>
        </w:rPr>
        <w:t>统筹</w:t>
      </w:r>
      <w:r>
        <w:rPr>
          <w:rFonts w:hint="eastAsia" w:ascii="仿宋_GB2312" w:hAnsi="Noto Music" w:cs="Noto Music"/>
          <w:color w:val="000000" w:themeColor="text1"/>
          <w:szCs w:val="32"/>
          <w14:textFill>
            <w14:solidFill>
              <w14:schemeClr w14:val="tx1"/>
            </w14:solidFill>
          </w14:textFill>
        </w:rPr>
        <w:t>组织实施。</w:t>
      </w:r>
    </w:p>
    <w:p w14:paraId="5F398659">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编制住房城乡建设、交通运输、体育、</w:t>
      </w:r>
      <w:r>
        <w:rPr>
          <w:rFonts w:hint="eastAsia" w:ascii="仿宋_GB2312" w:hAnsi="Noto Music" w:cs="Noto Music"/>
          <w:color w:val="000000" w:themeColor="text1"/>
          <w:szCs w:val="32"/>
          <w:lang w:val="en-US" w:eastAsia="zh-CN"/>
          <w14:textFill>
            <w14:solidFill>
              <w14:schemeClr w14:val="tx1"/>
            </w14:solidFill>
          </w14:textFill>
        </w:rPr>
        <w:t>文化和旅游</w:t>
      </w:r>
      <w:r>
        <w:rPr>
          <w:rFonts w:hint="eastAsia" w:ascii="仿宋_GB2312" w:hAnsi="Noto Music" w:cs="Noto Music"/>
          <w:color w:val="000000" w:themeColor="text1"/>
          <w:szCs w:val="32"/>
          <w14:textFill>
            <w14:solidFill>
              <w14:schemeClr w14:val="tx1"/>
            </w14:solidFill>
          </w14:textFill>
        </w:rPr>
        <w:t>、城市数字化转型、信息化建设、残疾人事业、老龄事业、妇女儿童等领域的相关专项规划，应当按照职责统筹考虑无障碍环境建设需要，并征求残疾人组织、老年人组织等社会组织的意见。</w:t>
      </w:r>
    </w:p>
    <w:p w14:paraId="2E6FCC19">
      <w:pPr>
        <w:pStyle w:val="12"/>
        <w:spacing w:after="0" w:line="600" w:lineRule="exact"/>
        <w:ind w:firstLine="640"/>
        <w:jc w:val="left"/>
        <w:rPr>
          <w:rFonts w:ascii="仿宋_GB2312" w:hAnsi="Noto Music" w:eastAsia="仿宋_GB2312" w:cs="Noto Music"/>
          <w:b w:val="0"/>
          <w:bCs w:val="0"/>
          <w:color w:val="000000" w:themeColor="text1"/>
          <w:sz w:val="32"/>
          <w:szCs w:val="32"/>
          <w14:textFill>
            <w14:solidFill>
              <w14:schemeClr w14:val="tx1"/>
            </w14:solidFill>
          </w14:textFill>
        </w:rPr>
      </w:pPr>
      <w:r>
        <w:rPr>
          <w:rFonts w:hint="eastAsia" w:ascii="黑体" w:hAnsi="黑体" w:eastAsia="黑体" w:cs="Noto Music"/>
          <w:b w:val="0"/>
          <w:bCs w:val="0"/>
          <w:color w:val="000000" w:themeColor="text1"/>
          <w:sz w:val="32"/>
          <w:szCs w:val="32"/>
          <w14:textFill>
            <w14:solidFill>
              <w14:schemeClr w14:val="tx1"/>
            </w14:solidFill>
          </w14:textFill>
        </w:rPr>
        <w:t xml:space="preserve">第八条【粤港澳大湾区合作】  </w:t>
      </w:r>
      <w:r>
        <w:rPr>
          <w:rFonts w:hint="eastAsia" w:ascii="仿宋_GB2312" w:hAnsi="Noto Music" w:eastAsia="仿宋_GB2312" w:cs="Noto Music"/>
          <w:b w:val="0"/>
          <w:bCs w:val="0"/>
          <w:color w:val="000000" w:themeColor="text1"/>
          <w:sz w:val="32"/>
          <w:szCs w:val="32"/>
          <w14:textFill>
            <w14:solidFill>
              <w14:schemeClr w14:val="tx1"/>
            </w14:solidFill>
          </w14:textFill>
        </w:rPr>
        <w:t>本省加强与香港特别行政区、澳门特别行政区在无障碍环境建设领域的交流与合作，推动粤港澳大湾区口岸、综合交通枢纽等场所以及国际性展会、重大文化和旅游节事活动等的无障碍设施衔接、引导标识互认和社会服务流程对接，为有无障碍需求的社会成员在粤港澳大湾区内便利出行、平等参与社会生活提供保障，促进粤港澳大湾区无障碍环境建设融合发展。</w:t>
      </w:r>
    </w:p>
    <w:p w14:paraId="228E444D">
      <w:pPr>
        <w:pStyle w:val="12"/>
        <w:spacing w:after="0" w:line="600" w:lineRule="exact"/>
        <w:ind w:firstLine="640"/>
        <w:jc w:val="left"/>
        <w:rPr>
          <w:rFonts w:ascii="仿宋_GB2312" w:hAnsi="Noto Music" w:eastAsia="仿宋_GB2312" w:cs="Noto Music"/>
          <w:b w:val="0"/>
          <w:bCs w:val="0"/>
          <w:color w:val="000000" w:themeColor="text1"/>
          <w:sz w:val="32"/>
          <w:szCs w:val="32"/>
          <w14:textFill>
            <w14:solidFill>
              <w14:schemeClr w14:val="tx1"/>
            </w14:solidFill>
          </w14:textFill>
        </w:rPr>
      </w:pPr>
      <w:r>
        <w:rPr>
          <w:rFonts w:hint="eastAsia" w:ascii="黑体" w:hAnsi="黑体" w:eastAsia="黑体" w:cs="Noto Music"/>
          <w:b w:val="0"/>
          <w:bCs w:val="0"/>
          <w:color w:val="000000" w:themeColor="text1"/>
          <w:sz w:val="32"/>
          <w:szCs w:val="32"/>
          <w14:textFill>
            <w14:solidFill>
              <w14:schemeClr w14:val="tx1"/>
            </w14:solidFill>
          </w14:textFill>
        </w:rPr>
        <w:t xml:space="preserve">第九条【无障碍环境建设标准】 </w:t>
      </w:r>
      <w:r>
        <w:rPr>
          <w:rFonts w:hint="eastAsia" w:ascii="黑体" w:hAnsi="黑体" w:eastAsia="黑体" w:cs="Noto Music"/>
          <w:b w:val="0"/>
          <w:bCs w:val="0"/>
          <w:color w:val="000000" w:themeColor="text1"/>
          <w:sz w:val="32"/>
          <w:szCs w:val="32"/>
          <w:lang w:val="en-US" w:eastAsia="zh-CN"/>
          <w14:textFill>
            <w14:solidFill>
              <w14:schemeClr w14:val="tx1"/>
            </w14:solidFill>
          </w14:textFill>
        </w:rPr>
        <w:t xml:space="preserve"> </w:t>
      </w:r>
      <w:r>
        <w:rPr>
          <w:rFonts w:hint="eastAsia" w:ascii="仿宋_GB2312" w:hAnsi="Noto Music" w:eastAsia="仿宋_GB2312" w:cs="Noto Music"/>
          <w:b w:val="0"/>
          <w:bCs w:val="0"/>
          <w:color w:val="000000" w:themeColor="text1"/>
          <w:sz w:val="32"/>
          <w:szCs w:val="32"/>
          <w14:textFill>
            <w14:solidFill>
              <w14:schemeClr w14:val="tx1"/>
            </w14:solidFill>
          </w14:textFill>
        </w:rPr>
        <w:t>本省推广通用设计理念，建立健全无障碍设施、信息交流和社会服务等标准体系，加强标准之间的衔接配合；有关部门和单位应当依法实施无障碍环境建设标准。</w:t>
      </w:r>
    </w:p>
    <w:p w14:paraId="7C3502C0">
      <w:pPr>
        <w:pStyle w:val="12"/>
        <w:spacing w:after="0" w:line="600" w:lineRule="exact"/>
        <w:ind w:firstLine="640"/>
        <w:jc w:val="left"/>
        <w:rPr>
          <w:rFonts w:ascii="仿宋_GB2312" w:hAnsi="Noto Music" w:eastAsia="仿宋_GB2312" w:cs="Noto Music"/>
          <w:b w:val="0"/>
          <w:bCs w:val="0"/>
          <w:color w:val="000000" w:themeColor="text1"/>
          <w:sz w:val="32"/>
          <w:szCs w:val="32"/>
          <w14:textFill>
            <w14:solidFill>
              <w14:schemeClr w14:val="tx1"/>
            </w14:solidFill>
          </w14:textFill>
        </w:rPr>
      </w:pPr>
      <w:r>
        <w:rPr>
          <w:rFonts w:hint="eastAsia" w:ascii="仿宋_GB2312" w:hAnsi="Noto Music" w:eastAsia="仿宋_GB2312" w:cs="Noto Music"/>
          <w:b w:val="0"/>
          <w:bCs w:val="0"/>
          <w:color w:val="000000" w:themeColor="text1"/>
          <w:sz w:val="32"/>
          <w:szCs w:val="32"/>
          <w14:textFill>
            <w14:solidFill>
              <w14:schemeClr w14:val="tx1"/>
            </w14:solidFill>
          </w14:textFill>
        </w:rPr>
        <w:t>市场监督管理部门会同有关部门组织制定无障碍环境建设相关地方标准。鼓励社会团体和企业制定、完善具有引领性的无障碍环境建设团体标准和企业标准。</w:t>
      </w:r>
    </w:p>
    <w:p w14:paraId="541935F8">
      <w:pPr>
        <w:pStyle w:val="12"/>
        <w:spacing w:after="0" w:line="600" w:lineRule="exact"/>
        <w:ind w:firstLine="640"/>
        <w:jc w:val="left"/>
        <w:rPr>
          <w:rFonts w:ascii="仿宋_GB2312" w:hAnsi="Noto Music" w:eastAsia="仿宋_GB2312" w:cs="Noto Music"/>
          <w:b w:val="0"/>
          <w:bCs w:val="0"/>
          <w:color w:val="000000" w:themeColor="text1"/>
          <w:sz w:val="32"/>
          <w:szCs w:val="32"/>
          <w14:textFill>
            <w14:solidFill>
              <w14:schemeClr w14:val="tx1"/>
            </w14:solidFill>
          </w14:textFill>
        </w:rPr>
      </w:pPr>
      <w:r>
        <w:rPr>
          <w:rFonts w:hint="eastAsia" w:ascii="黑体" w:hAnsi="黑体" w:eastAsia="黑体" w:cs="Noto Music"/>
          <w:b w:val="0"/>
          <w:bCs w:val="0"/>
          <w:color w:val="000000" w:themeColor="text1"/>
          <w:sz w:val="32"/>
          <w:szCs w:val="32"/>
          <w14:textFill>
            <w14:solidFill>
              <w14:schemeClr w14:val="tx1"/>
            </w14:solidFill>
          </w14:textFill>
        </w:rPr>
        <w:t>第十条【城区无障碍】</w:t>
      </w:r>
      <w:r>
        <w:rPr>
          <w:rFonts w:hint="eastAsia" w:ascii="仿宋_GB2312" w:hAnsi="Noto Music" w:eastAsia="仿宋_GB2312" w:cs="Noto Music"/>
          <w:b w:val="0"/>
          <w:bCs w:val="0"/>
          <w:color w:val="000000" w:themeColor="text1"/>
          <w:sz w:val="32"/>
          <w:szCs w:val="32"/>
          <w14:textFill>
            <w14:solidFill>
              <w14:schemeClr w14:val="tx1"/>
            </w14:solidFill>
          </w14:textFill>
        </w:rPr>
        <w:t xml:space="preserve"> </w:t>
      </w:r>
      <w:r>
        <w:rPr>
          <w:rFonts w:ascii="仿宋_GB2312" w:hAnsi="Noto Music" w:eastAsia="仿宋_GB2312" w:cs="Noto Music"/>
          <w:b w:val="0"/>
          <w:bCs w:val="0"/>
          <w:color w:val="000000" w:themeColor="text1"/>
          <w:sz w:val="32"/>
          <w:szCs w:val="32"/>
          <w14:textFill>
            <w14:solidFill>
              <w14:schemeClr w14:val="tx1"/>
            </w14:solidFill>
          </w14:textFill>
        </w:rPr>
        <w:t xml:space="preserve"> </w:t>
      </w:r>
      <w:bookmarkStart w:id="1" w:name="_Hlk225094702"/>
      <w:r>
        <w:rPr>
          <w:rFonts w:hint="eastAsia" w:ascii="仿宋_GB2312" w:hAnsi="Noto Music" w:eastAsia="仿宋_GB2312" w:cs="Noto Music"/>
          <w:b w:val="0"/>
          <w:bCs w:val="0"/>
          <w:color w:val="000000" w:themeColor="text1"/>
          <w:sz w:val="32"/>
          <w:szCs w:val="32"/>
          <w14:textFill>
            <w14:solidFill>
              <w14:schemeClr w14:val="tx1"/>
            </w14:solidFill>
          </w14:textFill>
        </w:rPr>
        <w:t>县级以上人民政府应当对未设置或者未按照标准设置无障碍设施的机构、场所</w:t>
      </w:r>
      <w:r>
        <w:rPr>
          <w:rFonts w:hint="eastAsia" w:ascii="仿宋_GB2312" w:hAnsi="Noto Music" w:eastAsia="仿宋_GB2312" w:cs="Noto Music"/>
          <w:b w:val="0"/>
          <w:bCs w:val="0"/>
          <w:color w:val="000000" w:themeColor="text1"/>
          <w:sz w:val="32"/>
          <w:szCs w:val="32"/>
          <w:lang w:eastAsia="zh-CN"/>
          <w14:textFill>
            <w14:solidFill>
              <w14:schemeClr w14:val="tx1"/>
            </w14:solidFill>
          </w14:textFill>
        </w:rPr>
        <w:t>，</w:t>
      </w:r>
      <w:r>
        <w:rPr>
          <w:rFonts w:hint="eastAsia" w:ascii="仿宋_GB2312" w:hAnsi="Noto Music" w:eastAsia="仿宋_GB2312" w:cs="Noto Music"/>
          <w:b w:val="0"/>
          <w:bCs w:val="0"/>
          <w:color w:val="000000" w:themeColor="text1"/>
          <w:sz w:val="32"/>
          <w:szCs w:val="32"/>
          <w14:textFill>
            <w14:solidFill>
              <w14:schemeClr w14:val="tx1"/>
            </w14:solidFill>
          </w14:textFill>
        </w:rPr>
        <w:t>按照无障碍设施工程建设标准及有关规定进行建设、改造，并优先推进下列机构、场所的无障碍设施建设、改造：</w:t>
      </w:r>
    </w:p>
    <w:p w14:paraId="7730824E">
      <w:pPr>
        <w:spacing w:line="600" w:lineRule="exact"/>
        <w:ind w:firstLine="640" w:firstLineChars="200"/>
        <w:rPr>
          <w:rFonts w:ascii="仿宋_GB2312" w:hAnsi="Noto Music" w:cs="Noto Music"/>
          <w:color w:val="000000" w:themeColor="text1"/>
          <w:szCs w:val="32"/>
          <w14:textFill>
            <w14:solidFill>
              <w14:schemeClr w14:val="tx1"/>
            </w14:solidFill>
          </w14:textFill>
        </w:rPr>
      </w:pPr>
      <w:bookmarkStart w:id="2" w:name="_Hlk225110705"/>
      <w:r>
        <w:rPr>
          <w:rFonts w:hint="eastAsia" w:ascii="仿宋_GB2312" w:hAnsi="Noto Music" w:cs="Noto Music"/>
          <w:color w:val="000000" w:themeColor="text1"/>
          <w:szCs w:val="32"/>
          <w14:textFill>
            <w14:solidFill>
              <w14:schemeClr w14:val="tx1"/>
            </w14:solidFill>
          </w14:textFill>
        </w:rPr>
        <w:t>（一）特殊教育、康复、福利、养老、托育、残疾人服务等机构；</w:t>
      </w:r>
    </w:p>
    <w:p w14:paraId="134FAA76">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（二）行政机关、事业单位、基层社区的公共服务场所；</w:t>
      </w:r>
    </w:p>
    <w:p w14:paraId="6D713AC7">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（三）城市的主要道路及其附属的人行天桥、人行地下通道等设施，广场、公园、绿地、景区、公共卫生间等公共场所；</w:t>
      </w:r>
    </w:p>
    <w:p w14:paraId="4CC6BE79">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（四）学校、医院、体育馆、图书馆、博物馆、文化馆、影剧院等公共服务场所；</w:t>
      </w:r>
    </w:p>
    <w:p w14:paraId="55A6530C">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（五）机场、车站、轨道交通、客运码头等公共交通服务场所；</w:t>
      </w:r>
    </w:p>
    <w:p w14:paraId="3AC79742">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（六）与有无障碍需求的社会成员生活、工作密切相关的其他服务场所。</w:t>
      </w:r>
    </w:p>
    <w:p w14:paraId="71D72475">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鼓励有条件的金融、邮电、旅馆、餐饮等商业服务场所按照无障碍设施工程建设标准进行无障碍设施建设或改造。</w:t>
      </w:r>
    </w:p>
    <w:bookmarkEnd w:id="2"/>
    <w:p w14:paraId="77DDF9E2">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各类无障碍设施应当有效衔接、实现贯通</w:t>
      </w:r>
      <w:r>
        <w:rPr>
          <w:rFonts w:ascii="仿宋_GB2312" w:hAnsi="Noto Music" w:cs="Noto Music"/>
          <w:color w:val="000000" w:themeColor="text1"/>
          <w:szCs w:val="32"/>
          <w14:textFill>
            <w14:solidFill>
              <w14:schemeClr w14:val="tx1"/>
            </w14:solidFill>
          </w14:textFill>
        </w:rPr>
        <w:t>。</w:t>
      </w:r>
    </w:p>
    <w:bookmarkEnd w:id="1"/>
    <w:p w14:paraId="195CFB6E">
      <w:pPr>
        <w:spacing w:line="600" w:lineRule="exact"/>
        <w:ind w:firstLine="640" w:firstLineChars="200"/>
        <w:rPr>
          <w:rFonts w:ascii="仿宋_GB2312"/>
          <w:color w:val="000000" w:themeColor="text1"/>
          <w:szCs w:val="32"/>
          <w14:textFill>
            <w14:solidFill>
              <w14:schemeClr w14:val="tx1"/>
            </w14:solidFill>
          </w14:textFill>
        </w:rPr>
      </w:pPr>
      <w:bookmarkStart w:id="3" w:name="OLE_LINK2"/>
      <w:r>
        <w:rPr>
          <w:rFonts w:hint="eastAsia" w:ascii="黑体" w:hAnsi="黑体" w:eastAsia="黑体" w:cs="Noto Music"/>
          <w:color w:val="000000" w:themeColor="text1"/>
          <w:szCs w:val="48"/>
          <w14:textFill>
            <w14:solidFill>
              <w14:schemeClr w14:val="tx1"/>
            </w14:solidFill>
          </w14:textFill>
        </w:rPr>
        <w:t>第十一条【乡村无障碍</w:t>
      </w:r>
      <w:r>
        <w:rPr>
          <w:rFonts w:hint="eastAsia" w:ascii="仿宋_GB2312" w:hAnsi="Noto Music" w:cs="Noto Music"/>
          <w:color w:val="000000" w:themeColor="text1"/>
          <w:szCs w:val="48"/>
          <w14:textFill>
            <w14:solidFill>
              <w14:schemeClr w14:val="tx1"/>
            </w14:solidFill>
          </w14:textFill>
        </w:rPr>
        <w:t>】</w:t>
      </w:r>
      <w:r>
        <w:rPr>
          <w:rFonts w:ascii="仿宋_GB2312" w:hAnsi="Noto Music" w:cs="Noto Music"/>
          <w:color w:val="000000" w:themeColor="text1"/>
          <w:szCs w:val="32"/>
          <w14:textFill>
            <w14:solidFill>
              <w14:schemeClr w14:val="tx1"/>
            </w14:solidFill>
          </w14:textFill>
        </w:rPr>
        <w:t xml:space="preserve">  县级以上人民政府应当</w:t>
      </w:r>
      <w:r>
        <w:rPr>
          <w:rFonts w:hint="eastAsia" w:ascii="仿宋_GB2312" w:hAnsi="Noto Music" w:cs="Noto Music"/>
          <w:color w:val="000000" w:themeColor="text1"/>
          <w:szCs w:val="32"/>
          <w14:textFill>
            <w14:solidFill>
              <w14:schemeClr w14:val="tx1"/>
            </w14:solidFill>
          </w14:textFill>
        </w:rPr>
        <w:t>结合农村人居环境整治提升等乡村振兴促进活动，</w:t>
      </w:r>
      <w:r>
        <w:rPr>
          <w:rFonts w:ascii="仿宋_GB2312" w:hAnsi="Noto Music" w:cs="Noto Music"/>
          <w:color w:val="000000" w:themeColor="text1"/>
          <w:szCs w:val="32"/>
          <w14:textFill>
            <w14:solidFill>
              <w14:schemeClr w14:val="tx1"/>
            </w14:solidFill>
          </w14:textFill>
        </w:rPr>
        <w:t>推进乡村无障碍环境建设工作，加快村庄道路、村级公共服务场所、农村家庭等无障碍设施建设，发展乡村无障碍基本公共服务。</w:t>
      </w:r>
    </w:p>
    <w:p w14:paraId="77064F99">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黑体" w:hAnsi="黑体" w:eastAsia="黑体" w:cs="Noto Music"/>
          <w:color w:val="000000" w:themeColor="text1"/>
          <w:szCs w:val="32"/>
          <w14:textFill>
            <w14:solidFill>
              <w14:schemeClr w14:val="tx1"/>
            </w14:solidFill>
          </w14:textFill>
        </w:rPr>
        <w:t>第十二条【小区无障碍</w:t>
      </w:r>
      <w:r>
        <w:rPr>
          <w:rFonts w:hint="eastAsia" w:ascii="仿宋_GB2312" w:hAnsi="Noto Music" w:cs="Noto Music"/>
          <w:color w:val="000000" w:themeColor="text1"/>
          <w:szCs w:val="32"/>
          <w14:textFill>
            <w14:solidFill>
              <w14:schemeClr w14:val="tx1"/>
            </w14:solidFill>
          </w14:textFill>
        </w:rPr>
        <w:t xml:space="preserve">】  </w:t>
      </w:r>
      <w:r>
        <w:rPr>
          <w:rFonts w:ascii="仿宋_GB2312"/>
          <w:color w:val="000000" w:themeColor="text1"/>
          <w:szCs w:val="32"/>
          <w14:textFill>
            <w14:solidFill>
              <w14:schemeClr w14:val="tx1"/>
            </w14:solidFill>
          </w14:textFill>
        </w:rPr>
        <w:t>县级以上人民政府及其有关部门应当采取措施，因地制宜推进</w:t>
      </w:r>
      <w:r>
        <w:rPr>
          <w:rFonts w:hint="eastAsia" w:ascii="仿宋_GB2312"/>
          <w:color w:val="000000" w:themeColor="text1"/>
          <w:szCs w:val="32"/>
          <w14:textFill>
            <w14:solidFill>
              <w14:schemeClr w14:val="tx1"/>
            </w14:solidFill>
          </w14:textFill>
        </w:rPr>
        <w:t>城镇</w:t>
      </w:r>
      <w:r>
        <w:rPr>
          <w:rFonts w:ascii="仿宋_GB2312"/>
          <w:color w:val="000000" w:themeColor="text1"/>
          <w:szCs w:val="32"/>
          <w14:textFill>
            <w14:solidFill>
              <w14:schemeClr w14:val="tx1"/>
            </w14:solidFill>
          </w14:textFill>
        </w:rPr>
        <w:t>老旧小区既有多层住宅加装电梯</w:t>
      </w:r>
      <w:r>
        <w:rPr>
          <w:rFonts w:hint="eastAsia" w:ascii="仿宋_GB2312" w:hAnsi="Noto Music" w:cs="Noto Music"/>
          <w:color w:val="000000" w:themeColor="text1"/>
          <w:szCs w:val="32"/>
          <w14:textFill>
            <w14:solidFill>
              <w14:schemeClr w14:val="tx1"/>
            </w14:solidFill>
          </w14:textFill>
        </w:rPr>
        <w:t>或者其他无障碍设施</w:t>
      </w:r>
      <w:r>
        <w:rPr>
          <w:rFonts w:ascii="仿宋_GB2312"/>
          <w:color w:val="000000" w:themeColor="text1"/>
          <w:szCs w:val="32"/>
          <w14:textFill>
            <w14:solidFill>
              <w14:schemeClr w14:val="tx1"/>
            </w14:solidFill>
          </w14:textFill>
        </w:rPr>
        <w:t>。</w:t>
      </w:r>
    </w:p>
    <w:p w14:paraId="64498400">
      <w:pPr>
        <w:spacing w:line="600" w:lineRule="exact"/>
        <w:ind w:firstLine="640" w:firstLineChars="200"/>
        <w:rPr>
          <w:rFonts w:ascii="仿宋_GB2312"/>
          <w:color w:val="000000" w:themeColor="text1"/>
          <w:szCs w:val="32"/>
          <w14:textFill>
            <w14:solidFill>
              <w14:schemeClr w14:val="tx1"/>
            </w14:solidFill>
          </w14:textFill>
        </w:rPr>
      </w:pPr>
      <w:r>
        <w:rPr>
          <w:rFonts w:ascii="仿宋_GB2312"/>
          <w:color w:val="000000" w:themeColor="text1"/>
          <w:szCs w:val="32"/>
          <w14:textFill>
            <w14:solidFill>
              <w14:schemeClr w14:val="tx1"/>
            </w14:solidFill>
          </w14:textFill>
        </w:rPr>
        <w:t>鼓励居民委员会、居住区管理服务单位以及业主委员会协助</w:t>
      </w:r>
      <w:r>
        <w:rPr>
          <w:rFonts w:hint="eastAsia" w:ascii="仿宋_GB2312"/>
          <w:color w:val="000000" w:themeColor="text1"/>
          <w:szCs w:val="32"/>
          <w14:textFill>
            <w14:solidFill>
              <w14:schemeClr w14:val="tx1"/>
            </w14:solidFill>
          </w14:textFill>
        </w:rPr>
        <w:t>县级人民政府及其有关部门，</w:t>
      </w:r>
      <w:r>
        <w:rPr>
          <w:rFonts w:ascii="仿宋_GB2312"/>
          <w:color w:val="000000" w:themeColor="text1"/>
          <w:szCs w:val="32"/>
          <w14:textFill>
            <w14:solidFill>
              <w14:schemeClr w14:val="tx1"/>
            </w14:solidFill>
          </w14:textFill>
        </w:rPr>
        <w:t>依法采集老旧小区无障碍设施改造需求信息及相关数据。</w:t>
      </w:r>
    </w:p>
    <w:p w14:paraId="78012C7E">
      <w:pPr>
        <w:spacing w:line="600" w:lineRule="exact"/>
        <w:ind w:firstLine="640" w:firstLineChars="200"/>
        <w:rPr>
          <w:rFonts w:ascii="仿宋_GB2312"/>
          <w:color w:val="000000" w:themeColor="text1"/>
          <w:szCs w:val="32"/>
          <w14:textFill>
            <w14:solidFill>
              <w14:schemeClr w14:val="tx1"/>
            </w14:solidFill>
          </w14:textFill>
        </w:rPr>
      </w:pPr>
      <w:r>
        <w:rPr>
          <w:rFonts w:hint="eastAsia" w:ascii="黑体" w:hAnsi="黑体" w:eastAsia="黑体" w:cs="Noto Music"/>
          <w:color w:val="000000" w:themeColor="text1"/>
          <w:szCs w:val="32"/>
          <w14:textFill>
            <w14:solidFill>
              <w14:schemeClr w14:val="tx1"/>
            </w14:solidFill>
          </w14:textFill>
        </w:rPr>
        <w:t>第十三条【住房无障碍</w:t>
      </w:r>
      <w:r>
        <w:rPr>
          <w:rFonts w:hint="eastAsia" w:ascii="仿宋_GB2312" w:hAnsi="Noto Music" w:cs="Noto Music"/>
          <w:color w:val="000000" w:themeColor="text1"/>
          <w:szCs w:val="32"/>
          <w14:textFill>
            <w14:solidFill>
              <w14:schemeClr w14:val="tx1"/>
            </w14:solidFill>
          </w14:textFill>
        </w:rPr>
        <w:t xml:space="preserve">】  </w:t>
      </w:r>
      <w:r>
        <w:rPr>
          <w:rFonts w:hint="eastAsia" w:ascii="仿宋_GB2312"/>
          <w:color w:val="000000" w:themeColor="text1"/>
          <w:szCs w:val="32"/>
          <w14:textFill>
            <w14:solidFill>
              <w14:schemeClr w14:val="tx1"/>
            </w14:solidFill>
          </w14:textFill>
        </w:rPr>
        <w:t>保障性住房项目和商品房项目中的无障碍住房，应当优先保障残疾人或者老年人等特定人群需求。住房保障主管部门应当将无障碍住房信息在保障性住房选房清单中标示注明；房地产主管部门应当将无障碍住房信息在商品房预售许可证的房屋清单及网签系统上标示注明；房地产开发企业应当将无障碍住房信息在销售现场公示。</w:t>
      </w:r>
    </w:p>
    <w:p w14:paraId="44D33828">
      <w:pPr>
        <w:spacing w:line="600" w:lineRule="exact"/>
        <w:ind w:firstLine="640" w:firstLineChars="200"/>
        <w:rPr>
          <w:rFonts w:ascii="仿宋_GB2312"/>
          <w:szCs w:val="32"/>
        </w:rPr>
      </w:pPr>
      <w:r>
        <w:rPr>
          <w:rFonts w:hint="eastAsia" w:ascii="仿宋_GB2312"/>
          <w:szCs w:val="32"/>
        </w:rPr>
        <w:t>县级以上</w:t>
      </w:r>
      <w:r>
        <w:rPr>
          <w:rFonts w:ascii="仿宋_GB2312"/>
          <w:szCs w:val="32"/>
        </w:rPr>
        <w:t>人民政府及其有关部门</w:t>
      </w:r>
      <w:r>
        <w:rPr>
          <w:rFonts w:hint="eastAsia" w:ascii="仿宋_GB2312"/>
          <w:szCs w:val="32"/>
        </w:rPr>
        <w:t>对</w:t>
      </w:r>
      <w:r>
        <w:rPr>
          <w:rFonts w:hint="eastAsia" w:ascii="仿宋_GB2312"/>
          <w:szCs w:val="32"/>
          <w:lang w:eastAsia="zh-CN"/>
        </w:rPr>
        <w:t>特殊困难</w:t>
      </w:r>
      <w:r>
        <w:rPr>
          <w:rFonts w:ascii="仿宋_GB2312"/>
          <w:szCs w:val="32"/>
        </w:rPr>
        <w:t>老年人</w:t>
      </w:r>
      <w:r>
        <w:rPr>
          <w:rFonts w:hint="eastAsia" w:ascii="仿宋_GB2312"/>
          <w:szCs w:val="32"/>
          <w:lang w:eastAsia="zh-CN"/>
        </w:rPr>
        <w:t>、困难重度残疾</w:t>
      </w:r>
      <w:r>
        <w:rPr>
          <w:rFonts w:ascii="仿宋_GB2312"/>
          <w:szCs w:val="32"/>
        </w:rPr>
        <w:t>人</w:t>
      </w:r>
      <w:r>
        <w:rPr>
          <w:rFonts w:hint="eastAsia" w:ascii="仿宋_GB2312"/>
          <w:szCs w:val="32"/>
        </w:rPr>
        <w:t>等符合条件的老年人</w:t>
      </w:r>
      <w:r>
        <w:rPr>
          <w:rFonts w:hint="eastAsia" w:ascii="仿宋_GB2312"/>
          <w:szCs w:val="32"/>
          <w:lang w:eastAsia="zh-CN"/>
        </w:rPr>
        <w:t>、残疾人</w:t>
      </w:r>
      <w:r>
        <w:rPr>
          <w:rFonts w:hint="eastAsia" w:ascii="仿宋_GB2312"/>
          <w:szCs w:val="32"/>
        </w:rPr>
        <w:t>家庭无障碍设施改造</w:t>
      </w:r>
      <w:r>
        <w:rPr>
          <w:rFonts w:ascii="仿宋_GB2312"/>
          <w:szCs w:val="32"/>
        </w:rPr>
        <w:t>提供资助。</w:t>
      </w:r>
    </w:p>
    <w:p w14:paraId="1F29C3DB">
      <w:pPr>
        <w:spacing w:line="600" w:lineRule="exact"/>
        <w:ind w:firstLine="640" w:firstLineChars="200"/>
        <w:rPr>
          <w:rFonts w:ascii="仿宋_GB2312"/>
          <w:szCs w:val="32"/>
        </w:rPr>
      </w:pPr>
      <w:r>
        <w:rPr>
          <w:rFonts w:hint="eastAsia" w:ascii="仿宋_GB2312"/>
          <w:szCs w:val="32"/>
        </w:rPr>
        <w:t>居民委员会、村民委员会、居住区管理服务单位以及业主委员会应当支持并配合家庭无障碍设施改造。</w:t>
      </w:r>
    </w:p>
    <w:bookmarkEnd w:id="3"/>
    <w:p w14:paraId="102E9EB4">
      <w:pPr>
        <w:spacing w:line="600" w:lineRule="exact"/>
        <w:ind w:firstLine="640" w:firstLineChars="200"/>
        <w:rPr>
          <w:rFonts w:ascii="仿宋_GB2312"/>
          <w:color w:val="000000" w:themeColor="text1"/>
          <w:szCs w:val="32"/>
          <w14:textFill>
            <w14:solidFill>
              <w14:schemeClr w14:val="tx1"/>
            </w14:solidFill>
          </w14:textFill>
        </w:rPr>
      </w:pPr>
      <w:bookmarkStart w:id="4" w:name="OLE_LINK3"/>
      <w:r>
        <w:rPr>
          <w:rFonts w:hint="eastAsia" w:ascii="黑体" w:hAnsi="黑体" w:eastAsia="黑体" w:cs="Noto Music"/>
          <w:color w:val="000000" w:themeColor="text1"/>
          <w:szCs w:val="32"/>
          <w14:textFill>
            <w14:solidFill>
              <w14:schemeClr w14:val="tx1"/>
            </w14:solidFill>
          </w14:textFill>
        </w:rPr>
        <w:t>第十</w:t>
      </w:r>
      <w:r>
        <w:rPr>
          <w:rFonts w:hint="eastAsia" w:ascii="黑体" w:hAnsi="黑体" w:eastAsia="黑体" w:cs="Noto Music"/>
          <w:color w:val="000000" w:themeColor="text1"/>
          <w:szCs w:val="32"/>
          <w:lang w:val="en-US" w:eastAsia="zh-CN"/>
          <w14:textFill>
            <w14:solidFill>
              <w14:schemeClr w14:val="tx1"/>
            </w14:solidFill>
          </w14:textFill>
        </w:rPr>
        <w:t>四</w:t>
      </w:r>
      <w:r>
        <w:rPr>
          <w:rFonts w:hint="eastAsia" w:ascii="黑体" w:hAnsi="黑体" w:eastAsia="黑体" w:cs="Noto Music"/>
          <w:color w:val="000000" w:themeColor="text1"/>
          <w:szCs w:val="32"/>
          <w14:textFill>
            <w14:solidFill>
              <w14:schemeClr w14:val="tx1"/>
            </w14:solidFill>
          </w14:textFill>
        </w:rPr>
        <w:t>条【</w:t>
      </w:r>
      <w:r>
        <w:rPr>
          <w:rFonts w:hint="eastAsia" w:ascii="黑体" w:hAnsi="黑体" w:eastAsia="黑体" w:cs="宋体"/>
          <w:color w:val="000000" w:themeColor="text1"/>
          <w:szCs w:val="32"/>
          <w14:textFill>
            <w14:solidFill>
              <w14:schemeClr w14:val="tx1"/>
            </w14:solidFill>
          </w14:textFill>
        </w:rPr>
        <w:t>因地制宜</w:t>
      </w:r>
      <w:r>
        <w:rPr>
          <w:rFonts w:hint="eastAsia" w:ascii="黑体" w:hAnsi="黑体" w:eastAsia="黑体" w:cs="Noto Music"/>
          <w:color w:val="000000" w:themeColor="text1"/>
          <w:szCs w:val="32"/>
          <w14:textFill>
            <w14:solidFill>
              <w14:schemeClr w14:val="tx1"/>
            </w14:solidFill>
          </w14:textFill>
        </w:rPr>
        <w:t>改造</w:t>
      </w:r>
      <w:r>
        <w:rPr>
          <w:rFonts w:hint="eastAsia" w:ascii="仿宋_GB2312" w:hAnsi="Noto Music" w:cs="Noto Music"/>
          <w:color w:val="000000" w:themeColor="text1"/>
          <w:szCs w:val="32"/>
          <w14:textFill>
            <w14:solidFill>
              <w14:schemeClr w14:val="tx1"/>
            </w14:solidFill>
          </w14:textFill>
        </w:rPr>
        <w:t xml:space="preserve">】  </w:t>
      </w:r>
      <w:r>
        <w:rPr>
          <w:rFonts w:hint="eastAsia" w:ascii="仿宋_GB2312"/>
          <w:color w:val="000000" w:themeColor="text1"/>
          <w:szCs w:val="32"/>
          <w14:textFill>
            <w14:solidFill>
              <w14:schemeClr w14:val="tx1"/>
            </w14:solidFill>
          </w14:textFill>
        </w:rPr>
        <w:t>因历史文化保护、既有建设条件受限、地形地貌特殊等情形，确难达到现行标准的，应当在保障安全、方便使用的前提下因地制宜，</w:t>
      </w:r>
      <w:r>
        <w:rPr>
          <w:rFonts w:hint="eastAsia" w:ascii="仿宋_GB2312" w:hAnsi="Noto Music" w:cs="Noto Music"/>
          <w:color w:val="000000" w:themeColor="text1"/>
          <w:szCs w:val="32"/>
          <w14:textFill>
            <w14:solidFill>
              <w14:schemeClr w14:val="tx1"/>
            </w14:solidFill>
          </w14:textFill>
        </w:rPr>
        <w:t>由</w:t>
      </w:r>
      <w:r>
        <w:rPr>
          <w:rFonts w:hint="eastAsia" w:ascii="仿宋_GB2312" w:hAnsi="Noto Music" w:cs="Noto Music"/>
          <w:color w:val="000000" w:themeColor="text1"/>
          <w:szCs w:val="32"/>
          <w:lang w:val="en-US" w:eastAsia="zh-CN"/>
          <w14:textFill>
            <w14:solidFill>
              <w14:schemeClr w14:val="tx1"/>
            </w14:solidFill>
          </w14:textFill>
        </w:rPr>
        <w:t>有关行业</w:t>
      </w:r>
      <w:r>
        <w:rPr>
          <w:rFonts w:hint="eastAsia" w:ascii="仿宋_GB2312" w:hAnsi="Noto Music" w:cs="Noto Music"/>
          <w:color w:val="000000" w:themeColor="text1"/>
          <w:szCs w:val="32"/>
          <w14:textFill>
            <w14:solidFill>
              <w14:schemeClr w14:val="tx1"/>
            </w14:solidFill>
          </w14:textFill>
        </w:rPr>
        <w:t>主管部门</w:t>
      </w:r>
      <w:r>
        <w:rPr>
          <w:rFonts w:hint="eastAsia" w:ascii="仿宋_GB2312"/>
          <w:color w:val="000000" w:themeColor="text1"/>
          <w:szCs w:val="32"/>
          <w14:textFill>
            <w14:solidFill>
              <w14:schemeClr w14:val="tx1"/>
            </w14:solidFill>
          </w14:textFill>
        </w:rPr>
        <w:t>组织专家论证，采取必要的替代性措施，并向社会公示。</w:t>
      </w:r>
    </w:p>
    <w:p w14:paraId="723C368F">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黑体" w:hAnsi="黑体" w:eastAsia="黑体" w:cs="Noto Music"/>
          <w:color w:val="000000" w:themeColor="text1"/>
          <w:szCs w:val="32"/>
          <w14:textFill>
            <w14:solidFill>
              <w14:schemeClr w14:val="tx1"/>
            </w14:solidFill>
          </w14:textFill>
        </w:rPr>
        <w:t>第十</w:t>
      </w:r>
      <w:r>
        <w:rPr>
          <w:rFonts w:hint="eastAsia" w:ascii="黑体" w:hAnsi="黑体" w:eastAsia="黑体" w:cs="Noto Music"/>
          <w:color w:val="000000" w:themeColor="text1"/>
          <w:szCs w:val="32"/>
          <w:lang w:val="en-US" w:eastAsia="zh-CN"/>
          <w14:textFill>
            <w14:solidFill>
              <w14:schemeClr w14:val="tx1"/>
            </w14:solidFill>
          </w14:textFill>
        </w:rPr>
        <w:t>五</w:t>
      </w:r>
      <w:r>
        <w:rPr>
          <w:rFonts w:hint="eastAsia" w:ascii="黑体" w:hAnsi="黑体" w:eastAsia="黑体" w:cs="Noto Music"/>
          <w:color w:val="000000" w:themeColor="text1"/>
          <w:szCs w:val="32"/>
          <w14:textFill>
            <w14:solidFill>
              <w14:schemeClr w14:val="tx1"/>
            </w14:solidFill>
          </w14:textFill>
        </w:rPr>
        <w:t>条【无障碍设施贯通】</w:t>
      </w:r>
      <w:r>
        <w:rPr>
          <w:rFonts w:hint="eastAsia" w:ascii="仿宋_GB2312" w:hAnsi="Noto Music" w:cs="Noto Music"/>
          <w:color w:val="000000" w:themeColor="text1"/>
          <w:szCs w:val="32"/>
          <w14:textFill>
            <w14:solidFill>
              <w14:schemeClr w14:val="tx1"/>
            </w14:solidFill>
          </w14:textFill>
        </w:rPr>
        <w:t xml:space="preserve"> </w:t>
      </w:r>
      <w:r>
        <w:rPr>
          <w:rFonts w:ascii="仿宋_GB2312" w:hAnsi="Noto Music" w:cs="Noto Music"/>
          <w:color w:val="000000" w:themeColor="text1"/>
          <w:szCs w:val="32"/>
          <w14:textFill>
            <w14:solidFill>
              <w14:schemeClr w14:val="tx1"/>
            </w14:solidFill>
          </w14:textFill>
        </w:rPr>
        <w:t xml:space="preserve"> </w:t>
      </w:r>
      <w:r>
        <w:rPr>
          <w:rFonts w:hint="eastAsia" w:ascii="仿宋_GB2312" w:hAnsi="Noto Music" w:cs="Noto Music"/>
          <w:color w:val="000000" w:themeColor="text1"/>
          <w:szCs w:val="32"/>
          <w14:textFill>
            <w14:solidFill>
              <w14:schemeClr w14:val="tx1"/>
            </w14:solidFill>
          </w14:textFill>
        </w:rPr>
        <w:t>新建、改建、扩建城市道路或者开设路口时，应当按照有关标准规范与周边的盲道、缘石坡道等无障碍设施有效衔接，不得破坏人行道和非机动车道无障碍设施的连续性。</w:t>
      </w:r>
    </w:p>
    <w:p w14:paraId="1EB59621">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公共建筑、公共场所设置隔离墩、阻拦桩、阻拦链等障碍物，不得影响缘石坡道、轮椅坡道、盲道等无障碍设施的正常使用，不得影响残疾人、老年人等正常通行。</w:t>
      </w:r>
    </w:p>
    <w:p w14:paraId="6A12F10F">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ascii="仿宋_GB2312" w:hAnsi="Noto Music" w:cs="Noto Music"/>
          <w:color w:val="000000" w:themeColor="text1"/>
          <w:szCs w:val="32"/>
          <w14:textFill>
            <w14:solidFill>
              <w14:schemeClr w14:val="tx1"/>
            </w14:solidFill>
          </w14:textFill>
        </w:rPr>
        <w:t>居住</w:t>
      </w:r>
      <w:r>
        <w:rPr>
          <w:rFonts w:hint="eastAsia" w:ascii="仿宋_GB2312" w:hAnsi="Noto Music" w:cs="Noto Music"/>
          <w:color w:val="000000" w:themeColor="text1"/>
          <w:szCs w:val="32"/>
          <w14:textFill>
            <w14:solidFill>
              <w14:schemeClr w14:val="tx1"/>
            </w14:solidFill>
          </w14:textFill>
        </w:rPr>
        <w:t>区内部的主要</w:t>
      </w:r>
      <w:r>
        <w:rPr>
          <w:rFonts w:ascii="仿宋_GB2312" w:hAnsi="Noto Music" w:cs="Noto Music"/>
          <w:color w:val="000000" w:themeColor="text1"/>
          <w:szCs w:val="32"/>
          <w14:textFill>
            <w14:solidFill>
              <w14:schemeClr w14:val="tx1"/>
            </w14:solidFill>
          </w14:textFill>
        </w:rPr>
        <w:t>出入口</w:t>
      </w:r>
      <w:r>
        <w:rPr>
          <w:rFonts w:hint="eastAsia" w:ascii="仿宋_GB2312" w:hAnsi="Noto Music" w:cs="Noto Music"/>
          <w:color w:val="000000" w:themeColor="text1"/>
          <w:szCs w:val="32"/>
          <w14:textFill>
            <w14:solidFill>
              <w14:schemeClr w14:val="tx1"/>
            </w14:solidFill>
          </w14:textFill>
        </w:rPr>
        <w:t>、居住建筑及其共有部分</w:t>
      </w:r>
      <w:r>
        <w:rPr>
          <w:rFonts w:ascii="仿宋_GB2312" w:hAnsi="Noto Music" w:cs="Noto Music"/>
          <w:color w:val="000000" w:themeColor="text1"/>
          <w:szCs w:val="32"/>
          <w14:textFill>
            <w14:solidFill>
              <w14:schemeClr w14:val="tx1"/>
            </w14:solidFill>
          </w14:textFill>
        </w:rPr>
        <w:t>、</w:t>
      </w:r>
      <w:r>
        <w:rPr>
          <w:rFonts w:hint="eastAsia" w:ascii="仿宋_GB2312" w:hAnsi="Noto Music" w:cs="Noto Music"/>
          <w:color w:val="000000" w:themeColor="text1"/>
          <w:szCs w:val="32"/>
          <w14:textFill>
            <w14:solidFill>
              <w14:schemeClr w14:val="tx1"/>
            </w14:solidFill>
          </w14:textFill>
        </w:rPr>
        <w:t>配套公共设施</w:t>
      </w:r>
      <w:r>
        <w:rPr>
          <w:rFonts w:ascii="仿宋_GB2312" w:hAnsi="Noto Music" w:cs="Noto Music"/>
          <w:color w:val="000000" w:themeColor="text1"/>
          <w:szCs w:val="32"/>
          <w14:textFill>
            <w14:solidFill>
              <w14:schemeClr w14:val="tx1"/>
            </w14:solidFill>
          </w14:textFill>
        </w:rPr>
        <w:t>、停车区域</w:t>
      </w:r>
      <w:r>
        <w:rPr>
          <w:rFonts w:hint="eastAsia" w:ascii="仿宋_GB2312" w:hAnsi="Noto Music" w:cs="Noto Music"/>
          <w:color w:val="000000" w:themeColor="text1"/>
          <w:szCs w:val="32"/>
          <w14:textFill>
            <w14:solidFill>
              <w14:schemeClr w14:val="tx1"/>
            </w14:solidFill>
          </w14:textFill>
        </w:rPr>
        <w:t>之间应当</w:t>
      </w:r>
      <w:r>
        <w:rPr>
          <w:rFonts w:ascii="仿宋_GB2312" w:hAnsi="Noto Music" w:cs="Noto Music"/>
          <w:color w:val="000000" w:themeColor="text1"/>
          <w:szCs w:val="32"/>
          <w14:textFill>
            <w14:solidFill>
              <w14:schemeClr w14:val="tx1"/>
            </w14:solidFill>
          </w14:textFill>
        </w:rPr>
        <w:t>设置坡道、电梯、扶手</w:t>
      </w:r>
      <w:r>
        <w:rPr>
          <w:rFonts w:hint="eastAsia" w:ascii="仿宋_GB2312" w:hAnsi="Noto Music" w:cs="Noto Music"/>
          <w:color w:val="000000" w:themeColor="text1"/>
          <w:szCs w:val="32"/>
          <w14:textFill>
            <w14:solidFill>
              <w14:schemeClr w14:val="tx1"/>
            </w14:solidFill>
          </w14:textFill>
        </w:rPr>
        <w:t>以及盲道、</w:t>
      </w:r>
      <w:r>
        <w:rPr>
          <w:rFonts w:ascii="仿宋_GB2312" w:hAnsi="Noto Music" w:cs="Noto Music"/>
          <w:color w:val="000000" w:themeColor="text1"/>
          <w:szCs w:val="32"/>
          <w14:textFill>
            <w14:solidFill>
              <w14:schemeClr w14:val="tx1"/>
            </w14:solidFill>
          </w14:textFill>
        </w:rPr>
        <w:t>缘石坡道等</w:t>
      </w:r>
      <w:r>
        <w:rPr>
          <w:rFonts w:hint="eastAsia" w:ascii="仿宋_GB2312" w:hAnsi="Noto Music" w:cs="Noto Music"/>
          <w:color w:val="000000" w:themeColor="text1"/>
          <w:szCs w:val="32"/>
          <w14:textFill>
            <w14:solidFill>
              <w14:schemeClr w14:val="tx1"/>
            </w14:solidFill>
          </w14:textFill>
        </w:rPr>
        <w:t>无障碍</w:t>
      </w:r>
      <w:r>
        <w:rPr>
          <w:rFonts w:ascii="仿宋_GB2312" w:hAnsi="Noto Music" w:cs="Noto Music"/>
          <w:color w:val="000000" w:themeColor="text1"/>
          <w:szCs w:val="32"/>
          <w14:textFill>
            <w14:solidFill>
              <w14:schemeClr w14:val="tx1"/>
            </w14:solidFill>
          </w14:textFill>
        </w:rPr>
        <w:t>设施</w:t>
      </w:r>
      <w:r>
        <w:rPr>
          <w:rFonts w:hint="eastAsia" w:ascii="仿宋_GB2312" w:hAnsi="Noto Music" w:cs="Noto Music"/>
          <w:color w:val="000000" w:themeColor="text1"/>
          <w:szCs w:val="32"/>
          <w14:textFill>
            <w14:solidFill>
              <w14:schemeClr w14:val="tx1"/>
            </w14:solidFill>
          </w14:textFill>
        </w:rPr>
        <w:t>，实现贯通</w:t>
      </w:r>
      <w:r>
        <w:rPr>
          <w:rFonts w:ascii="仿宋_GB2312" w:hAnsi="Noto Music" w:cs="Noto Music"/>
          <w:color w:val="000000" w:themeColor="text1"/>
          <w:szCs w:val="32"/>
          <w14:textFill>
            <w14:solidFill>
              <w14:schemeClr w14:val="tx1"/>
            </w14:solidFill>
          </w14:textFill>
        </w:rPr>
        <w:t>。</w:t>
      </w:r>
    </w:p>
    <w:p w14:paraId="294A4792">
      <w:pPr>
        <w:widowControl/>
        <w:spacing w:line="600" w:lineRule="exact"/>
        <w:ind w:firstLine="640" w:firstLineChars="200"/>
        <w:rPr>
          <w:rFonts w:ascii="仿宋_GB2312" w:hAnsi="仿宋_GB2312" w:cs="Calibri"/>
          <w:color w:val="000000" w:themeColor="text1"/>
          <w:szCs w:val="22"/>
          <w14:textFill>
            <w14:solidFill>
              <w14:schemeClr w14:val="tx1"/>
            </w14:solidFill>
          </w14:textFill>
        </w:rPr>
      </w:pPr>
      <w:r>
        <w:rPr>
          <w:rFonts w:hint="eastAsia" w:ascii="黑体" w:hAnsi="黑体" w:eastAsia="黑体" w:cs="黑体"/>
          <w:color w:val="000000" w:themeColor="text1"/>
          <w:szCs w:val="32"/>
          <w14:textFill>
            <w14:solidFill>
              <w14:schemeClr w14:val="tx1"/>
            </w14:solidFill>
          </w14:textFill>
        </w:rPr>
        <w:t>第十</w:t>
      </w:r>
      <w:r>
        <w:rPr>
          <w:rFonts w:hint="eastAsia" w:ascii="黑体" w:hAnsi="黑体" w:eastAsia="黑体" w:cs="黑体"/>
          <w:color w:val="000000" w:themeColor="text1"/>
          <w:szCs w:val="32"/>
          <w:lang w:val="en-US" w:eastAsia="zh-CN"/>
          <w14:textFill>
            <w14:solidFill>
              <w14:schemeClr w14:val="tx1"/>
            </w14:solidFill>
          </w14:textFill>
        </w:rPr>
        <w:t>六</w:t>
      </w:r>
      <w:r>
        <w:rPr>
          <w:rFonts w:hint="eastAsia" w:ascii="黑体" w:hAnsi="黑体" w:eastAsia="黑体" w:cs="黑体"/>
          <w:color w:val="000000" w:themeColor="text1"/>
          <w:szCs w:val="32"/>
          <w14:textFill>
            <w14:solidFill>
              <w14:schemeClr w14:val="tx1"/>
            </w14:solidFill>
          </w14:textFill>
        </w:rPr>
        <w:t xml:space="preserve">条【维护和管理】 </w:t>
      </w:r>
      <w:r>
        <w:rPr>
          <w:rFonts w:ascii="黑体" w:hAnsi="黑体" w:eastAsia="黑体" w:cs="黑体"/>
          <w:color w:val="000000" w:themeColor="text1"/>
          <w:szCs w:val="32"/>
          <w14:textFill>
            <w14:solidFill>
              <w14:schemeClr w14:val="tx1"/>
            </w14:solidFill>
          </w14:textFill>
        </w:rPr>
        <w:t xml:space="preserve"> </w:t>
      </w:r>
      <w:r>
        <w:rPr>
          <w:rFonts w:hint="eastAsia" w:ascii="仿宋_GB2312" w:hAnsi="仿宋_GB2312" w:cs="Calibri"/>
          <w:color w:val="000000" w:themeColor="text1"/>
          <w:szCs w:val="22"/>
          <w14:textFill>
            <w14:solidFill>
              <w14:schemeClr w14:val="tx1"/>
            </w14:solidFill>
          </w14:textFill>
        </w:rPr>
        <w:t>无障碍设施管理责任人应当加强对无障碍设施的日常巡查，履行下列维护管理责任，确保无障碍设施正常使用：</w:t>
      </w:r>
    </w:p>
    <w:p w14:paraId="555DC70B">
      <w:pPr>
        <w:widowControl/>
        <w:spacing w:line="600" w:lineRule="exact"/>
        <w:ind w:firstLine="640" w:firstLineChars="200"/>
        <w:rPr>
          <w:rFonts w:ascii="仿宋_GB2312" w:hAnsi="仿宋_GB2312" w:cs="Calibri"/>
          <w:color w:val="000000" w:themeColor="text1"/>
          <w:szCs w:val="22"/>
          <w14:textFill>
            <w14:solidFill>
              <w14:schemeClr w14:val="tx1"/>
            </w14:solidFill>
          </w14:textFill>
        </w:rPr>
      </w:pPr>
      <w:r>
        <w:rPr>
          <w:rFonts w:hint="eastAsia" w:ascii="仿宋_GB2312" w:hAnsi="仿宋_GB2312" w:cs="Calibri"/>
          <w:color w:val="000000" w:themeColor="text1"/>
          <w:szCs w:val="22"/>
          <w14:textFill>
            <w14:solidFill>
              <w14:schemeClr w14:val="tx1"/>
            </w14:solidFill>
          </w14:textFill>
        </w:rPr>
        <w:t>（一）设置符合国家标准的无障碍标识，保证标识位置醒目、内容清晰、规范，指明无障碍设施的走向以及具体位置；</w:t>
      </w:r>
    </w:p>
    <w:p w14:paraId="20EA741A">
      <w:pPr>
        <w:widowControl/>
        <w:spacing w:line="600" w:lineRule="exact"/>
        <w:ind w:firstLine="640" w:firstLineChars="200"/>
        <w:rPr>
          <w:rFonts w:ascii="仿宋_GB2312" w:hAnsi="仿宋_GB2312" w:cs="Calibri"/>
          <w:color w:val="000000" w:themeColor="text1"/>
          <w:szCs w:val="22"/>
          <w14:textFill>
            <w14:solidFill>
              <w14:schemeClr w14:val="tx1"/>
            </w14:solidFill>
          </w14:textFill>
        </w:rPr>
      </w:pPr>
      <w:r>
        <w:rPr>
          <w:rFonts w:hint="eastAsia" w:ascii="仿宋_GB2312" w:hAnsi="仿宋_GB2312" w:cs="Calibri"/>
          <w:color w:val="000000" w:themeColor="text1"/>
          <w:szCs w:val="22"/>
          <w14:textFill>
            <w14:solidFill>
              <w14:schemeClr w14:val="tx1"/>
            </w14:solidFill>
          </w14:textFill>
        </w:rPr>
        <w:t>（二）定期对无障碍设施进行维护和保养；</w:t>
      </w:r>
    </w:p>
    <w:p w14:paraId="288B99D4">
      <w:pPr>
        <w:widowControl/>
        <w:spacing w:line="600" w:lineRule="exact"/>
        <w:ind w:firstLine="640" w:firstLineChars="200"/>
        <w:rPr>
          <w:rFonts w:ascii="仿宋_GB2312" w:hAnsi="仿宋_GB2312" w:cs="Calibri"/>
          <w:color w:val="000000" w:themeColor="text1"/>
          <w:szCs w:val="22"/>
          <w14:textFill>
            <w14:solidFill>
              <w14:schemeClr w14:val="tx1"/>
            </w14:solidFill>
          </w14:textFill>
        </w:rPr>
      </w:pPr>
      <w:r>
        <w:rPr>
          <w:rFonts w:hint="eastAsia" w:ascii="仿宋_GB2312" w:hAnsi="仿宋_GB2312" w:cs="Calibri"/>
          <w:color w:val="000000" w:themeColor="text1"/>
          <w:szCs w:val="22"/>
          <w14:textFill>
            <w14:solidFill>
              <w14:schemeClr w14:val="tx1"/>
            </w14:solidFill>
          </w14:textFill>
        </w:rPr>
        <w:t>（三）发现无障碍设施、标识损毁、损坏的，及时维修；</w:t>
      </w:r>
    </w:p>
    <w:p w14:paraId="33A7902A">
      <w:pPr>
        <w:widowControl/>
        <w:spacing w:line="600" w:lineRule="exact"/>
        <w:ind w:firstLine="640" w:firstLineChars="200"/>
        <w:rPr>
          <w:rFonts w:ascii="仿宋_GB2312" w:hAnsi="仿宋_GB2312" w:cs="Calibri"/>
          <w:color w:val="000000" w:themeColor="text1"/>
          <w:szCs w:val="22"/>
          <w14:textFill>
            <w14:solidFill>
              <w14:schemeClr w14:val="tx1"/>
            </w14:solidFill>
          </w14:textFill>
        </w:rPr>
      </w:pPr>
      <w:r>
        <w:rPr>
          <w:rFonts w:hint="eastAsia" w:ascii="仿宋_GB2312" w:hAnsi="仿宋_GB2312" w:cs="Calibri"/>
          <w:color w:val="000000" w:themeColor="text1"/>
          <w:szCs w:val="22"/>
          <w14:textFill>
            <w14:solidFill>
              <w14:schemeClr w14:val="tx1"/>
            </w14:solidFill>
          </w14:textFill>
        </w:rPr>
        <w:t>（四）发现无障碍设施被占用的，及时纠正；</w:t>
      </w:r>
    </w:p>
    <w:p w14:paraId="7AB5743B">
      <w:pPr>
        <w:widowControl/>
        <w:spacing w:line="600" w:lineRule="exact"/>
        <w:ind w:firstLine="640" w:firstLineChars="200"/>
        <w:rPr>
          <w:rFonts w:ascii="仿宋_GB2312" w:hAnsi="仿宋_GB2312" w:cs="Calibri"/>
          <w:color w:val="000000" w:themeColor="text1"/>
          <w:szCs w:val="22"/>
          <w14:textFill>
            <w14:solidFill>
              <w14:schemeClr w14:val="tx1"/>
            </w14:solidFill>
          </w14:textFill>
        </w:rPr>
      </w:pPr>
      <w:r>
        <w:rPr>
          <w:rFonts w:hint="eastAsia" w:ascii="仿宋_GB2312" w:hAnsi="仿宋_GB2312" w:cs="Calibri"/>
          <w:color w:val="000000" w:themeColor="text1"/>
          <w:szCs w:val="22"/>
          <w14:textFill>
            <w14:solidFill>
              <w14:schemeClr w14:val="tx1"/>
            </w14:solidFill>
          </w14:textFill>
        </w:rPr>
        <w:t>（五）对确需改造的无障碍设施，履行改造责任。</w:t>
      </w:r>
    </w:p>
    <w:p w14:paraId="4F2DC2A2">
      <w:pPr>
        <w:widowControl/>
        <w:spacing w:line="600" w:lineRule="exact"/>
        <w:ind w:firstLine="640" w:firstLineChars="200"/>
        <w:rPr>
          <w:rFonts w:ascii="仿宋_GB2312" w:hAnsi="仿宋_GB2312" w:cs="Calibri"/>
          <w:color w:val="000000" w:themeColor="text1"/>
          <w:szCs w:val="22"/>
          <w14:textFill>
            <w14:solidFill>
              <w14:schemeClr w14:val="tx1"/>
            </w14:solidFill>
          </w14:textFill>
        </w:rPr>
      </w:pPr>
      <w:r>
        <w:rPr>
          <w:rFonts w:hint="eastAsia" w:ascii="仿宋_GB2312" w:hAnsi="仿宋_GB2312" w:cs="Calibri"/>
          <w:color w:val="000000" w:themeColor="text1"/>
          <w:szCs w:val="22"/>
          <w14:textFill>
            <w14:solidFill>
              <w14:schemeClr w14:val="tx1"/>
            </w14:solidFill>
          </w14:textFill>
        </w:rPr>
        <w:t>前款所称管理责任人，是指道路、公共建筑、公共交通设施、居住建筑、居住区的所有权人；所有权人、管理人和使用人之间约定维护管理和改造责任的，按照其约定承担相应责任</w:t>
      </w:r>
      <w:r>
        <w:rPr>
          <w:rFonts w:ascii="仿宋_GB2312" w:hAnsi="仿宋_GB2312" w:cs="Calibri"/>
          <w:color w:val="000000" w:themeColor="text1"/>
          <w:szCs w:val="22"/>
          <w14:textFill>
            <w14:solidFill>
              <w14:schemeClr w14:val="tx1"/>
            </w14:solidFill>
          </w14:textFill>
        </w:rPr>
        <w:t>。</w:t>
      </w:r>
    </w:p>
    <w:p w14:paraId="21905788">
      <w:pPr>
        <w:widowControl/>
        <w:spacing w:line="600" w:lineRule="exact"/>
        <w:ind w:firstLine="640" w:firstLineChars="200"/>
        <w:rPr>
          <w:rFonts w:ascii="仿宋_GB2312" w:hAnsi="仿宋_GB2312" w:cs="Calibri"/>
          <w:color w:val="000000" w:themeColor="text1"/>
          <w:szCs w:val="22"/>
          <w14:textFill>
            <w14:solidFill>
              <w14:schemeClr w14:val="tx1"/>
            </w14:solidFill>
          </w14:textFill>
        </w:rPr>
      </w:pPr>
      <w:r>
        <w:rPr>
          <w:rFonts w:hint="eastAsia" w:ascii="黑体" w:hAnsi="黑体" w:eastAsia="黑体" w:cs="黑体"/>
          <w:color w:val="000000" w:themeColor="text1"/>
          <w:szCs w:val="32"/>
          <w14:textFill>
            <w14:solidFill>
              <w14:schemeClr w14:val="tx1"/>
            </w14:solidFill>
          </w14:textFill>
        </w:rPr>
        <w:t>第十</w:t>
      </w:r>
      <w:r>
        <w:rPr>
          <w:rFonts w:hint="eastAsia" w:ascii="黑体" w:hAnsi="黑体" w:eastAsia="黑体" w:cs="黑体"/>
          <w:color w:val="000000" w:themeColor="text1"/>
          <w:szCs w:val="32"/>
          <w:lang w:val="en-US" w:eastAsia="zh-CN"/>
          <w14:textFill>
            <w14:solidFill>
              <w14:schemeClr w14:val="tx1"/>
            </w14:solidFill>
          </w14:textFill>
        </w:rPr>
        <w:t>七</w:t>
      </w:r>
      <w:r>
        <w:rPr>
          <w:rFonts w:hint="eastAsia" w:ascii="黑体" w:hAnsi="黑体" w:eastAsia="黑体" w:cs="黑体"/>
          <w:color w:val="000000" w:themeColor="text1"/>
          <w:szCs w:val="32"/>
          <w14:textFill>
            <w14:solidFill>
              <w14:schemeClr w14:val="tx1"/>
            </w14:solidFill>
          </w14:textFill>
        </w:rPr>
        <w:t>条【非法占用】</w:t>
      </w:r>
      <w:r>
        <w:rPr>
          <w:rStyle w:val="23"/>
          <w:rFonts w:hint="eastAsia" w:ascii="仿宋_GB2312" w:hAnsi="仿宋_GB2312" w:eastAsia="仿宋_GB2312"/>
          <w:color w:val="000000" w:themeColor="text1"/>
          <w:szCs w:val="22"/>
          <w:lang w:val="zh-CN"/>
          <w14:textFill>
            <w14:solidFill>
              <w14:schemeClr w14:val="tx1"/>
            </w14:solidFill>
          </w14:textFill>
        </w:rPr>
        <w:t xml:space="preserve">  </w:t>
      </w:r>
      <w:r>
        <w:rPr>
          <w:rFonts w:hint="eastAsia" w:ascii="仿宋_GB2312" w:hAnsi="仿宋_GB2312" w:cs="Calibri"/>
          <w:color w:val="000000" w:themeColor="text1"/>
          <w:szCs w:val="22"/>
          <w14:textFill>
            <w14:solidFill>
              <w14:schemeClr w14:val="tx1"/>
            </w14:solidFill>
          </w14:textFill>
        </w:rPr>
        <w:t>机动车、非机动车的停放不得占用盲道、无障碍通道等无障碍设施。对车辆停放占用盲道、无障碍通道等无障碍设施的，公安机关交通管理部门应当依法纠正。</w:t>
      </w:r>
    </w:p>
    <w:p w14:paraId="3EE0DD02">
      <w:pPr>
        <w:widowControl/>
        <w:spacing w:line="600" w:lineRule="exact"/>
        <w:ind w:firstLine="640" w:firstLineChars="200"/>
        <w:rPr>
          <w:rFonts w:ascii="仿宋_GB2312" w:hAnsi="仿宋_GB2312" w:cs="Calibri"/>
          <w:color w:val="000000" w:themeColor="text1"/>
          <w:szCs w:val="22"/>
          <w14:textFill>
            <w14:solidFill>
              <w14:schemeClr w14:val="tx1"/>
            </w14:solidFill>
          </w14:textFill>
        </w:rPr>
      </w:pPr>
      <w:r>
        <w:rPr>
          <w:rFonts w:ascii="仿宋_GB2312" w:hAnsi="仿宋_GB2312" w:cs="Calibri"/>
          <w:color w:val="000000" w:themeColor="text1"/>
          <w:szCs w:val="22"/>
          <w14:textFill>
            <w14:solidFill>
              <w14:schemeClr w14:val="tx1"/>
            </w14:solidFill>
          </w14:textFill>
        </w:rPr>
        <w:t>停车场管理者对于违规占用无障碍停车位的，应当予以劝阻；对拒不驶离或者强行停车，扰乱停车场公共秩序的，应当及时报告公安机关</w:t>
      </w:r>
      <w:r>
        <w:rPr>
          <w:rFonts w:hint="eastAsia" w:ascii="仿宋_GB2312" w:hAnsi="仿宋_GB2312" w:cs="Calibri"/>
          <w:color w:val="000000" w:themeColor="text1"/>
          <w:szCs w:val="22"/>
          <w14:textFill>
            <w14:solidFill>
              <w14:schemeClr w14:val="tx1"/>
            </w14:solidFill>
          </w14:textFill>
        </w:rPr>
        <w:t>交通管理部门</w:t>
      </w:r>
      <w:r>
        <w:rPr>
          <w:rFonts w:ascii="仿宋_GB2312" w:hAnsi="仿宋_GB2312" w:cs="Calibri"/>
          <w:color w:val="000000" w:themeColor="text1"/>
          <w:szCs w:val="22"/>
          <w14:textFill>
            <w14:solidFill>
              <w14:schemeClr w14:val="tx1"/>
            </w14:solidFill>
          </w14:textFill>
        </w:rPr>
        <w:t>。</w:t>
      </w:r>
    </w:p>
    <w:p w14:paraId="211F03CF">
      <w:pPr>
        <w:spacing w:line="600" w:lineRule="exact"/>
        <w:ind w:firstLine="640" w:firstLineChars="200"/>
        <w:rPr>
          <w:rFonts w:ascii="仿宋_GB2312" w:hAnsi="仿宋_GB2312" w:cs="仿宋_GB2312"/>
          <w:color w:val="000000" w:themeColor="text1"/>
          <w:szCs w:val="32"/>
          <w14:textFill>
            <w14:solidFill>
              <w14:schemeClr w14:val="tx1"/>
            </w14:solidFill>
          </w14:textFill>
        </w:rPr>
      </w:pPr>
      <w:r>
        <w:rPr>
          <w:rFonts w:hint="eastAsia" w:ascii="黑体" w:hAnsi="黑体" w:eastAsia="黑体" w:cs="黑体"/>
          <w:color w:val="000000" w:themeColor="text1"/>
          <w:szCs w:val="32"/>
          <w14:textFill>
            <w14:solidFill>
              <w14:schemeClr w14:val="tx1"/>
            </w14:solidFill>
          </w14:textFill>
        </w:rPr>
        <w:t>第十</w:t>
      </w:r>
      <w:r>
        <w:rPr>
          <w:rFonts w:hint="eastAsia" w:ascii="黑体" w:hAnsi="黑体" w:eastAsia="黑体" w:cs="黑体"/>
          <w:color w:val="000000" w:themeColor="text1"/>
          <w:szCs w:val="32"/>
          <w:lang w:val="en-US" w:eastAsia="zh-CN"/>
          <w14:textFill>
            <w14:solidFill>
              <w14:schemeClr w14:val="tx1"/>
            </w14:solidFill>
          </w14:textFill>
        </w:rPr>
        <w:t>八</w:t>
      </w:r>
      <w:r>
        <w:rPr>
          <w:rFonts w:hint="eastAsia" w:ascii="黑体" w:hAnsi="黑体" w:eastAsia="黑体" w:cs="黑体"/>
          <w:color w:val="000000" w:themeColor="text1"/>
          <w:szCs w:val="32"/>
          <w14:textFill>
            <w14:solidFill>
              <w14:schemeClr w14:val="tx1"/>
            </w14:solidFill>
          </w14:textFill>
        </w:rPr>
        <w:t xml:space="preserve">条【替代措施】 </w:t>
      </w:r>
      <w:r>
        <w:rPr>
          <w:rFonts w:hint="eastAsia" w:cs="仿宋_GB2312"/>
          <w:szCs w:val="32"/>
        </w:rPr>
        <w:t xml:space="preserve"> 因城乡</w:t>
      </w:r>
      <w:r>
        <w:rPr>
          <w:rFonts w:hint="eastAsia" w:ascii="仿宋_GB2312" w:hAnsi="仿宋_GB2312" w:cs="仿宋_GB2312"/>
          <w:color w:val="000000" w:themeColor="text1"/>
          <w:szCs w:val="32"/>
          <w14:textFill>
            <w14:solidFill>
              <w14:schemeClr w14:val="tx1"/>
            </w14:solidFill>
          </w14:textFill>
        </w:rPr>
        <w:t>道路、公共建筑、公共场所、交通运输设施等新建、改建、扩建，或者因大型群众性活动、突发事件应对等原因，</w:t>
      </w:r>
      <w:r>
        <w:rPr>
          <w:rFonts w:ascii="仿宋_GB2312" w:hAnsi="仿宋_GB2312" w:cs="仿宋_GB2312"/>
          <w:color w:val="000000" w:themeColor="text1"/>
          <w:szCs w:val="32"/>
          <w14:textFill>
            <w14:solidFill>
              <w14:schemeClr w14:val="tx1"/>
            </w14:solidFill>
          </w14:textFill>
        </w:rPr>
        <w:t>导致</w:t>
      </w:r>
      <w:r>
        <w:rPr>
          <w:rFonts w:hint="eastAsia" w:ascii="仿宋_GB2312" w:hAnsi="仿宋_GB2312" w:cs="仿宋_GB2312"/>
          <w:color w:val="000000" w:themeColor="text1"/>
          <w:szCs w:val="32"/>
          <w14:textFill>
            <w14:solidFill>
              <w14:schemeClr w14:val="tx1"/>
            </w14:solidFill>
          </w14:textFill>
        </w:rPr>
        <w:t>既有</w:t>
      </w:r>
      <w:r>
        <w:rPr>
          <w:rFonts w:ascii="仿宋_GB2312" w:hAnsi="仿宋_GB2312" w:cs="仿宋_GB2312"/>
          <w:color w:val="000000" w:themeColor="text1"/>
          <w:szCs w:val="32"/>
          <w14:textFill>
            <w14:solidFill>
              <w14:schemeClr w14:val="tx1"/>
            </w14:solidFill>
          </w14:textFill>
        </w:rPr>
        <w:t>无障碍设施暂时不能正常使用的，有关单位</w:t>
      </w:r>
      <w:r>
        <w:rPr>
          <w:rFonts w:ascii="仿宋_GB2312"/>
          <w:szCs w:val="32"/>
        </w:rPr>
        <w:t>应当公告并设置护栏、警示标志或者信号设施</w:t>
      </w:r>
      <w:r>
        <w:rPr>
          <w:rFonts w:hint="eastAsia" w:ascii="仿宋_GB2312"/>
          <w:szCs w:val="32"/>
        </w:rPr>
        <w:t>，同时</w:t>
      </w:r>
      <w:r>
        <w:rPr>
          <w:rFonts w:ascii="仿宋_GB2312" w:hAnsi="仿宋_GB2312" w:cs="仿宋_GB2312"/>
          <w:color w:val="000000" w:themeColor="text1"/>
          <w:szCs w:val="32"/>
          <w14:textFill>
            <w14:solidFill>
              <w14:schemeClr w14:val="tx1"/>
            </w14:solidFill>
          </w14:textFill>
        </w:rPr>
        <w:t>采取</w:t>
      </w:r>
      <w:r>
        <w:rPr>
          <w:rFonts w:hint="eastAsia" w:ascii="仿宋_GB2312" w:hAnsi="仿宋_GB2312" w:cs="仿宋_GB2312"/>
          <w:color w:val="000000" w:themeColor="text1"/>
          <w:szCs w:val="32"/>
          <w14:textFill>
            <w14:solidFill>
              <w14:schemeClr w14:val="tx1"/>
            </w14:solidFill>
          </w14:textFill>
        </w:rPr>
        <w:t>必要的替代性措施</w:t>
      </w:r>
      <w:r>
        <w:rPr>
          <w:rFonts w:ascii="仿宋_GB2312" w:hAnsi="仿宋_GB2312" w:cs="仿宋_GB2312"/>
          <w:color w:val="000000" w:themeColor="text1"/>
          <w:szCs w:val="32"/>
          <w14:textFill>
            <w14:solidFill>
              <w14:schemeClr w14:val="tx1"/>
            </w14:solidFill>
          </w14:textFill>
        </w:rPr>
        <w:t>，提供等效便利。临时占用期满，应当及时恢复原状。</w:t>
      </w:r>
    </w:p>
    <w:p w14:paraId="22ECF77C">
      <w:pPr>
        <w:widowControl/>
        <w:spacing w:line="600" w:lineRule="exact"/>
        <w:ind w:firstLine="640" w:firstLineChars="200"/>
        <w:rPr>
          <w:rFonts w:ascii="仿宋_GB2312"/>
          <w:szCs w:val="32"/>
        </w:rPr>
      </w:pPr>
      <w:r>
        <w:rPr>
          <w:rFonts w:hint="eastAsia" w:ascii="黑体" w:hAnsi="黑体" w:eastAsia="黑体" w:cs="Noto Music"/>
          <w:color w:val="000000" w:themeColor="text1"/>
          <w:szCs w:val="32"/>
          <w14:textFill>
            <w14:solidFill>
              <w14:schemeClr w14:val="tx1"/>
            </w14:solidFill>
          </w14:textFill>
        </w:rPr>
        <w:t>第</w:t>
      </w:r>
      <w:r>
        <w:rPr>
          <w:rFonts w:hint="eastAsia" w:ascii="黑体" w:hAnsi="黑体" w:eastAsia="黑体" w:cs="Noto Music"/>
          <w:color w:val="000000" w:themeColor="text1"/>
          <w:szCs w:val="32"/>
          <w:lang w:val="en-US" w:eastAsia="zh-CN"/>
          <w14:textFill>
            <w14:solidFill>
              <w14:schemeClr w14:val="tx1"/>
            </w14:solidFill>
          </w14:textFill>
        </w:rPr>
        <w:t>十九</w:t>
      </w:r>
      <w:r>
        <w:rPr>
          <w:rFonts w:hint="eastAsia" w:ascii="黑体" w:hAnsi="黑体" w:eastAsia="黑体" w:cs="Noto Music"/>
          <w:color w:val="000000" w:themeColor="text1"/>
          <w:szCs w:val="32"/>
          <w14:textFill>
            <w14:solidFill>
              <w14:schemeClr w14:val="tx1"/>
            </w14:solidFill>
          </w14:textFill>
        </w:rPr>
        <w:t xml:space="preserve">条【参建单位义务】  </w:t>
      </w:r>
      <w:r>
        <w:rPr>
          <w:rFonts w:hint="eastAsia" w:ascii="仿宋_GB2312"/>
          <w:szCs w:val="32"/>
        </w:rPr>
        <w:t>工程</w:t>
      </w:r>
      <w:r>
        <w:rPr>
          <w:rFonts w:ascii="仿宋_GB2312"/>
          <w:szCs w:val="32"/>
        </w:rPr>
        <w:t>建设单位应当将无障碍设施建设经费纳入工程建设项目概预算</w:t>
      </w:r>
      <w:r>
        <w:rPr>
          <w:rFonts w:hint="eastAsia" w:ascii="仿宋_GB2312"/>
          <w:szCs w:val="32"/>
        </w:rPr>
        <w:t>；</w:t>
      </w:r>
      <w:r>
        <w:rPr>
          <w:rFonts w:ascii="仿宋_GB2312"/>
          <w:szCs w:val="32"/>
        </w:rPr>
        <w:t>在组织建设工程竣工验收时，应当同时对无障碍设施进行验收，在工程竣工验收报告中说明无障碍设施验收情况，并依法办理竣工验收备案手续。</w:t>
      </w:r>
    </w:p>
    <w:p w14:paraId="0D47591C">
      <w:pPr>
        <w:widowControl/>
        <w:spacing w:line="600" w:lineRule="exact"/>
        <w:ind w:firstLine="640" w:firstLineChars="200"/>
        <w:rPr>
          <w:rFonts w:ascii="仿宋_GB2312"/>
          <w:szCs w:val="32"/>
        </w:rPr>
      </w:pPr>
      <w:r>
        <w:rPr>
          <w:rFonts w:hint="eastAsia" w:ascii="仿宋_GB2312"/>
          <w:szCs w:val="32"/>
        </w:rPr>
        <w:t>工程设计单位进行建设工程设计时，应当设置无障碍设施设计专篇。对应当设计无障碍设施而未设计的，施工图设计文件审查机构不予通过设计文件审查。</w:t>
      </w:r>
    </w:p>
    <w:p w14:paraId="1BF12391">
      <w:pPr>
        <w:widowControl/>
        <w:spacing w:line="600" w:lineRule="exact"/>
        <w:ind w:firstLine="640" w:firstLineChars="200"/>
        <w:rPr>
          <w:rFonts w:ascii="仿宋_GB2312"/>
          <w:szCs w:val="32"/>
        </w:rPr>
      </w:pPr>
      <w:r>
        <w:rPr>
          <w:rFonts w:hint="eastAsia" w:ascii="仿宋_GB2312"/>
          <w:szCs w:val="32"/>
        </w:rPr>
        <w:t>工程施工单位应当按照审查合格的施工图设计文件和施工技术标准进行无障碍设施施工，并对施工质量负责。</w:t>
      </w:r>
    </w:p>
    <w:p w14:paraId="6D83C07C">
      <w:pPr>
        <w:widowControl/>
        <w:spacing w:line="600" w:lineRule="exact"/>
        <w:ind w:firstLine="640" w:firstLineChars="200"/>
        <w:rPr>
          <w:rFonts w:ascii="仿宋_GB2312"/>
          <w:szCs w:val="32"/>
        </w:rPr>
      </w:pPr>
      <w:r>
        <w:rPr>
          <w:rFonts w:hint="eastAsia" w:ascii="仿宋_GB2312"/>
          <w:szCs w:val="32"/>
        </w:rPr>
        <w:t>工程监理单位应当依照法律、法规以及无障碍设施工程建设标准、审查合格的施工图设计文件，对无障碍设施的施工质量实施监理，并对施工质量承担监理责任。</w:t>
      </w:r>
    </w:p>
    <w:bookmarkEnd w:id="4"/>
    <w:p w14:paraId="41AB5005">
      <w:pPr>
        <w:spacing w:line="600" w:lineRule="exact"/>
        <w:ind w:firstLine="640" w:firstLineChars="200"/>
        <w:rPr>
          <w:rFonts w:ascii="仿宋_GB2312"/>
          <w:szCs w:val="32"/>
        </w:rPr>
      </w:pPr>
      <w:r>
        <w:rPr>
          <w:rFonts w:hint="eastAsia" w:ascii="黑体" w:hAnsi="黑体" w:eastAsia="黑体" w:cs="Noto Music"/>
          <w:color w:val="000000" w:themeColor="text1"/>
          <w:szCs w:val="32"/>
          <w14:textFill>
            <w14:solidFill>
              <w14:schemeClr w14:val="tx1"/>
            </w14:solidFill>
          </w14:textFill>
        </w:rPr>
        <w:t>第二十条【信息呼叫系统</w:t>
      </w:r>
      <w:r>
        <w:rPr>
          <w:rFonts w:hint="eastAsia" w:ascii="仿宋_GB2312" w:hAnsi="Noto Music" w:cs="Noto Music"/>
          <w:color w:val="000000" w:themeColor="text1"/>
          <w:szCs w:val="32"/>
          <w14:textFill>
            <w14:solidFill>
              <w14:schemeClr w14:val="tx1"/>
            </w14:solidFill>
          </w14:textFill>
        </w:rPr>
        <w:t xml:space="preserve">】 </w:t>
      </w:r>
      <w:r>
        <w:rPr>
          <w:rFonts w:ascii="仿宋_GB2312" w:hAnsi="Noto Music" w:cs="Noto Music"/>
          <w:color w:val="000000" w:themeColor="text1"/>
          <w:szCs w:val="32"/>
          <w14:textFill>
            <w14:solidFill>
              <w14:schemeClr w14:val="tx1"/>
            </w14:solidFill>
          </w14:textFill>
        </w:rPr>
        <w:t xml:space="preserve"> </w:t>
      </w:r>
      <w:r>
        <w:rPr>
          <w:rFonts w:hint="eastAsia" w:ascii="仿宋_GB2312"/>
          <w:szCs w:val="32"/>
        </w:rPr>
        <w:t>县级以上</w:t>
      </w:r>
      <w:r>
        <w:rPr>
          <w:rFonts w:ascii="仿宋_GB2312"/>
          <w:szCs w:val="32"/>
        </w:rPr>
        <w:t>人民政府及其有关部门应当完善报警求助、消防应急、交通事故、医疗急救、安全疏散等紧急呼叫系统，以及政务服务、公共法律服务、社区公共服务等便民热线服务系统，使其逐步具备语音、大字、一键呼叫、文字报警等无障碍功能。</w:t>
      </w:r>
    </w:p>
    <w:p w14:paraId="1F03F64E">
      <w:pPr>
        <w:spacing w:line="600" w:lineRule="exact"/>
        <w:ind w:firstLine="640" w:firstLineChars="200"/>
        <w:rPr>
          <w:rFonts w:ascii="仿宋_GB2312" w:hAnsi="仿宋_GB2312" w:cs="仿宋_GB2312"/>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第二十</w:t>
      </w:r>
      <w:r>
        <w:rPr>
          <w:rFonts w:hint="eastAsia" w:ascii="Times New Roman" w:hAnsi="Times New Roman" w:eastAsia="黑体" w:cs="黑体"/>
          <w:color w:val="000000" w:themeColor="text1"/>
          <w:szCs w:val="32"/>
          <w:lang w:val="en-US" w:eastAsia="zh-CN"/>
          <w14:textFill>
            <w14:solidFill>
              <w14:schemeClr w14:val="tx1"/>
            </w14:solidFill>
          </w14:textFill>
        </w:rPr>
        <w:t>一</w:t>
      </w:r>
      <w:r>
        <w:rPr>
          <w:rFonts w:hint="eastAsia" w:ascii="Times New Roman" w:hAnsi="Times New Roman" w:eastAsia="黑体" w:cs="黑体"/>
          <w:color w:val="000000" w:themeColor="text1"/>
          <w:szCs w:val="32"/>
          <w14:textFill>
            <w14:solidFill>
              <w14:schemeClr w14:val="tx1"/>
            </w14:solidFill>
          </w14:textFill>
        </w:rPr>
        <w:t>条【地图导航】</w:t>
      </w:r>
      <w:r>
        <w:rPr>
          <w:rFonts w:hint="eastAsia" w:ascii="Times New Roman" w:hAnsi="Times New Roman" w:eastAsia="黑体" w:cs="仿宋_GB2312"/>
          <w:color w:val="000000" w:themeColor="text1"/>
          <w:szCs w:val="32"/>
          <w14:textFill>
            <w14:solidFill>
              <w14:schemeClr w14:val="tx1"/>
            </w14:solidFill>
          </w14:textFill>
        </w:rPr>
        <w:t xml:space="preserve">  </w:t>
      </w:r>
      <w:r>
        <w:rPr>
          <w:rFonts w:hint="eastAsia" w:ascii="仿宋_GB2312" w:hAnsi="仿宋_GB2312" w:cs="仿宋_GB2312"/>
          <w:color w:val="000000" w:themeColor="text1"/>
          <w:szCs w:val="32"/>
          <w14:textFill>
            <w14:solidFill>
              <w14:schemeClr w14:val="tx1"/>
            </w14:solidFill>
          </w14:textFill>
        </w:rPr>
        <w:t>鼓励地图导航定位产品逐步完善无障碍设施的标识和无障碍出行路线导航功能。</w:t>
      </w:r>
    </w:p>
    <w:p w14:paraId="11BE010A">
      <w:pPr>
        <w:spacing w:line="600" w:lineRule="exact"/>
        <w:ind w:firstLine="640" w:firstLineChars="200"/>
        <w:rPr>
          <w:rFonts w:hint="eastAsia"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县级以上人民政府有关部门应当依法向地图导航等出行服务应用程序的开发者和运营者开放无障碍设施的位置、类型、状态等公共数据，推动无障碍设施数据纳入城市公共数据平台，实现动态更新与共享共用。</w:t>
      </w:r>
    </w:p>
    <w:p w14:paraId="343AA8B4">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黑体" w:hAnsi="黑体" w:eastAsia="黑体" w:cs="Noto Music"/>
          <w:color w:val="000000" w:themeColor="text1"/>
          <w:szCs w:val="32"/>
          <w14:textFill>
            <w14:solidFill>
              <w14:schemeClr w14:val="tx1"/>
            </w14:solidFill>
          </w14:textFill>
        </w:rPr>
        <w:t>第二十</w:t>
      </w:r>
      <w:r>
        <w:rPr>
          <w:rFonts w:hint="eastAsia" w:ascii="黑体" w:hAnsi="黑体" w:eastAsia="黑体" w:cs="Noto Music"/>
          <w:color w:val="000000" w:themeColor="text1"/>
          <w:szCs w:val="32"/>
          <w:lang w:val="en-US" w:eastAsia="zh-CN"/>
          <w14:textFill>
            <w14:solidFill>
              <w14:schemeClr w14:val="tx1"/>
            </w14:solidFill>
          </w14:textFill>
        </w:rPr>
        <w:t>二</w:t>
      </w:r>
      <w:r>
        <w:rPr>
          <w:rFonts w:hint="eastAsia" w:ascii="黑体" w:hAnsi="黑体" w:eastAsia="黑体" w:cs="Noto Music"/>
          <w:color w:val="000000" w:themeColor="text1"/>
          <w:szCs w:val="32"/>
          <w14:textFill>
            <w14:solidFill>
              <w14:schemeClr w14:val="tx1"/>
            </w14:solidFill>
          </w14:textFill>
        </w:rPr>
        <w:t>条【社会服务</w:t>
      </w:r>
      <w:r>
        <w:rPr>
          <w:rFonts w:hint="eastAsia" w:ascii="仿宋_GB2312" w:hAnsi="Noto Music" w:cs="Noto Music"/>
          <w:color w:val="000000" w:themeColor="text1"/>
          <w:szCs w:val="32"/>
          <w14:textFill>
            <w14:solidFill>
              <w14:schemeClr w14:val="tx1"/>
            </w14:solidFill>
          </w14:textFill>
        </w:rPr>
        <w:t>】  下列公共服务机构、公共场所应当设置低位服务台或者无障碍服务窗口，配备电子信息显示屏、手写板、语音提示等设备，并提供现场引导、人工协助或者办理等传统服务：</w:t>
      </w:r>
    </w:p>
    <w:p w14:paraId="364D31A0">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（一）特殊教育、康复、福利、养老、托育、残疾人服务等机构；</w:t>
      </w:r>
    </w:p>
    <w:p w14:paraId="188B3340">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（二）行政服务机构、社区服务机构以及供水、供电、供气、供热等公共服务机构；</w:t>
      </w:r>
    </w:p>
    <w:p w14:paraId="58D5F7B5">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（三）法律援助中心、人民法院诉讼服务中心；</w:t>
      </w:r>
    </w:p>
    <w:p w14:paraId="21744249">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（四）学校、医院、体育馆、图书馆、博物馆、文化馆、影剧院等公共服务场所；</w:t>
      </w:r>
    </w:p>
    <w:p w14:paraId="79ABF002">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（五）综合客运枢纽、客运站、客运码头、民用运输机场航站区、城市轨道交通车站；</w:t>
      </w:r>
    </w:p>
    <w:p w14:paraId="5747B66F">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（六）金融、邮政、电信等服务场所；</w:t>
      </w:r>
    </w:p>
    <w:p w14:paraId="12E4198C">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（七）无障碍需求比较集中的其他公共服务机构或者公共场所。</w:t>
      </w:r>
    </w:p>
    <w:p w14:paraId="6FBD288F">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仿宋_GB2312" w:hAnsi="Noto Music" w:cs="Noto Music"/>
          <w:color w:val="000000" w:themeColor="text1"/>
          <w:szCs w:val="32"/>
          <w14:textFill>
            <w14:solidFill>
              <w14:schemeClr w14:val="tx1"/>
            </w14:solidFill>
          </w14:textFill>
        </w:rPr>
        <w:t>鼓励和支持公共服务机构、公共场所推广应用适合残疾人、老年人等社会成员需求特点的</w:t>
      </w:r>
      <w:r>
        <w:rPr>
          <w:rFonts w:hint="eastAsia" w:ascii="仿宋_GB2312" w:hAnsi="Noto Music" w:cs="Noto Music"/>
          <w:color w:val="000000" w:themeColor="text1"/>
          <w:szCs w:val="32"/>
          <w:lang w:val="en-US" w:eastAsia="zh-CN"/>
          <w14:textFill>
            <w14:solidFill>
              <w14:schemeClr w14:val="tx1"/>
            </w14:solidFill>
          </w14:textFill>
        </w:rPr>
        <w:t>远程实时无障碍</w:t>
      </w:r>
      <w:r>
        <w:rPr>
          <w:rFonts w:hint="eastAsia" w:ascii="仿宋_GB2312" w:hAnsi="Noto Music" w:cs="Noto Music"/>
          <w:color w:val="000000" w:themeColor="text1"/>
          <w:szCs w:val="32"/>
          <w14:textFill>
            <w14:solidFill>
              <w14:schemeClr w14:val="tx1"/>
            </w14:solidFill>
          </w14:textFill>
        </w:rPr>
        <w:t>信息服务，根据需要对残疾人、老年人等社会成员使用相关信息服务给予指导和帮助，并尊重残疾人、老年人的习惯，保留现场办理等传统服务方式。</w:t>
      </w:r>
    </w:p>
    <w:p w14:paraId="497D2E37">
      <w:pPr>
        <w:widowControl/>
        <w:spacing w:line="600" w:lineRule="exact"/>
        <w:ind w:firstLine="640" w:firstLineChars="200"/>
        <w:jc w:val="left"/>
        <w:rPr>
          <w:rFonts w:ascii="仿宋_GB2312"/>
          <w:color w:val="000000" w:themeColor="text1"/>
          <w:szCs w:val="32"/>
          <w14:textFill>
            <w14:solidFill>
              <w14:schemeClr w14:val="tx1"/>
            </w14:solidFill>
          </w14:textFill>
        </w:rPr>
      </w:pPr>
      <w:r>
        <w:rPr>
          <w:rFonts w:hint="eastAsia" w:ascii="黑体" w:hAnsi="黑体" w:eastAsia="黑体" w:cs="Noto Music"/>
          <w:color w:val="000000" w:themeColor="text1"/>
          <w:szCs w:val="32"/>
          <w14:textFill>
            <w14:solidFill>
              <w14:schemeClr w14:val="tx1"/>
            </w14:solidFill>
          </w14:textFill>
        </w:rPr>
        <w:t>第二十</w:t>
      </w:r>
      <w:r>
        <w:rPr>
          <w:rFonts w:hint="eastAsia" w:ascii="黑体" w:hAnsi="黑体" w:eastAsia="黑体" w:cs="Noto Music"/>
          <w:color w:val="000000" w:themeColor="text1"/>
          <w:szCs w:val="32"/>
          <w:lang w:val="en-US" w:eastAsia="zh-CN"/>
          <w14:textFill>
            <w14:solidFill>
              <w14:schemeClr w14:val="tx1"/>
            </w14:solidFill>
          </w14:textFill>
        </w:rPr>
        <w:t>三</w:t>
      </w:r>
      <w:r>
        <w:rPr>
          <w:rFonts w:hint="eastAsia" w:ascii="黑体" w:hAnsi="黑体" w:eastAsia="黑体" w:cs="Noto Music"/>
          <w:color w:val="000000" w:themeColor="text1"/>
          <w:szCs w:val="32"/>
          <w14:textFill>
            <w14:solidFill>
              <w14:schemeClr w14:val="tx1"/>
            </w14:solidFill>
          </w14:textFill>
        </w:rPr>
        <w:t>条【无障碍标识】</w:t>
      </w:r>
      <w:r>
        <w:rPr>
          <w:rFonts w:hint="eastAsia" w:ascii="仿宋_GB2312"/>
          <w:color w:val="000000" w:themeColor="text1"/>
          <w:szCs w:val="32"/>
          <w14:textFill>
            <w14:solidFill>
              <w14:schemeClr w14:val="tx1"/>
            </w14:solidFill>
          </w14:textFill>
        </w:rPr>
        <w:t xml:space="preserve"> </w:t>
      </w:r>
      <w:r>
        <w:rPr>
          <w:rFonts w:ascii="仿宋_GB2312"/>
          <w:color w:val="000000" w:themeColor="text1"/>
          <w:szCs w:val="32"/>
          <w14:textFill>
            <w14:solidFill>
              <w14:schemeClr w14:val="tx1"/>
            </w14:solidFill>
          </w14:textFill>
        </w:rPr>
        <w:t xml:space="preserve"> 提供无障碍设施或者服务的</w:t>
      </w:r>
      <w:r>
        <w:rPr>
          <w:rFonts w:hint="eastAsia" w:ascii="仿宋_GB2312"/>
          <w:color w:val="000000" w:themeColor="text1"/>
          <w:szCs w:val="32"/>
          <w14:textFill>
            <w14:solidFill>
              <w14:schemeClr w14:val="tx1"/>
            </w14:solidFill>
          </w14:textFill>
        </w:rPr>
        <w:t>单位、场所</w:t>
      </w:r>
      <w:r>
        <w:rPr>
          <w:rFonts w:ascii="仿宋_GB2312"/>
          <w:color w:val="000000" w:themeColor="text1"/>
          <w:szCs w:val="32"/>
          <w14:textFill>
            <w14:solidFill>
              <w14:schemeClr w14:val="tx1"/>
            </w14:solidFill>
          </w14:textFill>
        </w:rPr>
        <w:t>应当将无障碍标识纳入周边环境或者建筑物内部引导标识系统，并在主要出入口、服务区域等显著位置以适当方式向公众告知本单位提供的无障碍设施或者服务</w:t>
      </w:r>
      <w:r>
        <w:rPr>
          <w:rFonts w:hint="eastAsia" w:ascii="仿宋_GB2312"/>
          <w:color w:val="000000" w:themeColor="text1"/>
          <w:szCs w:val="32"/>
          <w14:textFill>
            <w14:solidFill>
              <w14:schemeClr w14:val="tx1"/>
            </w14:solidFill>
          </w14:textFill>
        </w:rPr>
        <w:t>。</w:t>
      </w:r>
    </w:p>
    <w:p w14:paraId="41A73D3D">
      <w:pPr>
        <w:widowControl/>
        <w:spacing w:line="600" w:lineRule="exact"/>
        <w:ind w:firstLine="640" w:firstLineChars="200"/>
        <w:jc w:val="left"/>
        <w:rPr>
          <w:rFonts w:ascii="仿宋_GB2312"/>
          <w:color w:val="000000" w:themeColor="text1"/>
          <w:szCs w:val="32"/>
          <w14:textFill>
            <w14:solidFill>
              <w14:schemeClr w14:val="tx1"/>
            </w14:solidFill>
          </w14:textFill>
        </w:rPr>
      </w:pPr>
      <w:r>
        <w:rPr>
          <w:rFonts w:ascii="仿宋_GB2312"/>
          <w:color w:val="000000" w:themeColor="text1"/>
          <w:szCs w:val="32"/>
          <w14:textFill>
            <w14:solidFill>
              <w14:schemeClr w14:val="tx1"/>
            </w14:solidFill>
          </w14:textFill>
        </w:rPr>
        <w:t>通过互联网平台、服务平台或者移动互联网应用程序提供</w:t>
      </w:r>
      <w:r>
        <w:rPr>
          <w:rFonts w:hint="eastAsia" w:ascii="仿宋_GB2312"/>
          <w:color w:val="000000" w:themeColor="text1"/>
          <w:szCs w:val="32"/>
          <w14:textFill>
            <w14:solidFill>
              <w14:schemeClr w14:val="tx1"/>
            </w14:solidFill>
          </w14:textFill>
        </w:rPr>
        <w:t>无障碍社会</w:t>
      </w:r>
      <w:r>
        <w:rPr>
          <w:rFonts w:ascii="仿宋_GB2312"/>
          <w:color w:val="000000" w:themeColor="text1"/>
          <w:szCs w:val="32"/>
          <w14:textFill>
            <w14:solidFill>
              <w14:schemeClr w14:val="tx1"/>
            </w14:solidFill>
          </w14:textFill>
        </w:rPr>
        <w:t>服务的，应当同步</w:t>
      </w:r>
      <w:r>
        <w:rPr>
          <w:rFonts w:hint="eastAsia" w:ascii="仿宋_GB2312"/>
          <w:color w:val="000000" w:themeColor="text1"/>
          <w:szCs w:val="32"/>
          <w14:textFill>
            <w14:solidFill>
              <w14:schemeClr w14:val="tx1"/>
            </w14:solidFill>
          </w14:textFill>
        </w:rPr>
        <w:t>向公众</w:t>
      </w:r>
      <w:r>
        <w:rPr>
          <w:rFonts w:ascii="仿宋_GB2312"/>
          <w:color w:val="000000" w:themeColor="text1"/>
          <w:szCs w:val="32"/>
          <w14:textFill>
            <w14:solidFill>
              <w14:schemeClr w14:val="tx1"/>
            </w14:solidFill>
          </w14:textFill>
        </w:rPr>
        <w:t>告知并</w:t>
      </w:r>
      <w:r>
        <w:rPr>
          <w:rFonts w:hint="eastAsia" w:ascii="仿宋_GB2312"/>
          <w:color w:val="000000" w:themeColor="text1"/>
          <w:szCs w:val="32"/>
          <w14:textFill>
            <w14:solidFill>
              <w14:schemeClr w14:val="tx1"/>
            </w14:solidFill>
          </w14:textFill>
        </w:rPr>
        <w:t>动态</w:t>
      </w:r>
      <w:r>
        <w:rPr>
          <w:rFonts w:ascii="仿宋_GB2312"/>
          <w:color w:val="000000" w:themeColor="text1"/>
          <w:szCs w:val="32"/>
          <w14:textFill>
            <w14:solidFill>
              <w14:schemeClr w14:val="tx1"/>
            </w14:solidFill>
          </w14:textFill>
        </w:rPr>
        <w:t>更新。</w:t>
      </w:r>
    </w:p>
    <w:p w14:paraId="64FB509D">
      <w:pPr>
        <w:spacing w:line="600" w:lineRule="exact"/>
        <w:ind w:firstLine="640" w:firstLineChars="200"/>
        <w:rPr>
          <w:rFonts w:ascii="仿宋_GB2312" w:hAnsi="Noto Music" w:cs="Noto Music"/>
          <w:color w:val="000000" w:themeColor="text1"/>
          <w:szCs w:val="32"/>
          <w14:textFill>
            <w14:solidFill>
              <w14:schemeClr w14:val="tx1"/>
            </w14:solidFill>
          </w14:textFill>
        </w:rPr>
      </w:pPr>
      <w:r>
        <w:rPr>
          <w:rFonts w:hint="eastAsia" w:ascii="黑体" w:hAnsi="黑体" w:eastAsia="黑体" w:cs="Noto Music"/>
          <w:color w:val="000000" w:themeColor="text1"/>
          <w:szCs w:val="32"/>
          <w14:textFill>
            <w14:solidFill>
              <w14:schemeClr w14:val="tx1"/>
            </w14:solidFill>
          </w14:textFill>
        </w:rPr>
        <w:t>第二十</w:t>
      </w:r>
      <w:r>
        <w:rPr>
          <w:rFonts w:hint="eastAsia" w:ascii="黑体" w:hAnsi="黑体" w:eastAsia="黑体" w:cs="Noto Music"/>
          <w:color w:val="000000" w:themeColor="text1"/>
          <w:szCs w:val="32"/>
          <w:lang w:val="en-US" w:eastAsia="zh-CN"/>
          <w14:textFill>
            <w14:solidFill>
              <w14:schemeClr w14:val="tx1"/>
            </w14:solidFill>
          </w14:textFill>
        </w:rPr>
        <w:t>四</w:t>
      </w:r>
      <w:r>
        <w:rPr>
          <w:rFonts w:hint="eastAsia" w:ascii="黑体" w:hAnsi="黑体" w:eastAsia="黑体" w:cs="Noto Music"/>
          <w:color w:val="000000" w:themeColor="text1"/>
          <w:szCs w:val="32"/>
          <w14:textFill>
            <w14:solidFill>
              <w14:schemeClr w14:val="tx1"/>
            </w14:solidFill>
          </w14:textFill>
        </w:rPr>
        <w:t>条【新技术应用】</w:t>
      </w:r>
      <w:r>
        <w:rPr>
          <w:rFonts w:ascii="仿宋_GB2312"/>
          <w:color w:val="000000" w:themeColor="text1"/>
          <w:szCs w:val="32"/>
          <w14:textFill>
            <w14:solidFill>
              <w14:schemeClr w14:val="tx1"/>
            </w14:solidFill>
          </w14:textFill>
        </w:rPr>
        <w:t xml:space="preserve">  </w:t>
      </w:r>
      <w:r>
        <w:rPr>
          <w:rFonts w:hint="eastAsia" w:ascii="仿宋_GB2312"/>
          <w:szCs w:val="32"/>
        </w:rPr>
        <w:t>县级以上</w:t>
      </w:r>
      <w:r>
        <w:rPr>
          <w:rFonts w:ascii="仿宋_GB2312"/>
          <w:szCs w:val="32"/>
        </w:rPr>
        <w:t>人民政府及</w:t>
      </w:r>
      <w:r>
        <w:rPr>
          <w:rFonts w:hint="eastAsia" w:ascii="仿宋_GB2312"/>
          <w:szCs w:val="32"/>
        </w:rPr>
        <w:t>有关</w:t>
      </w:r>
      <w:r>
        <w:rPr>
          <w:rFonts w:ascii="仿宋_GB2312"/>
          <w:szCs w:val="32"/>
        </w:rPr>
        <w:t>部门应当制定和完善相关政策，扶持、引导、鼓励科研机构和企业依托人工智能、物联网、</w:t>
      </w:r>
      <w:r>
        <w:rPr>
          <w:rFonts w:hint="eastAsia" w:ascii="仿宋_GB2312"/>
          <w:szCs w:val="32"/>
        </w:rPr>
        <w:t>大数据、云计算、仿生</w:t>
      </w:r>
      <w:r>
        <w:rPr>
          <w:rFonts w:ascii="仿宋_GB2312"/>
          <w:szCs w:val="32"/>
        </w:rPr>
        <w:t>等新一代技术在无障碍</w:t>
      </w:r>
      <w:r>
        <w:rPr>
          <w:rFonts w:hint="eastAsia" w:ascii="仿宋_GB2312"/>
          <w:szCs w:val="32"/>
        </w:rPr>
        <w:t>环境建设</w:t>
      </w:r>
      <w:r>
        <w:rPr>
          <w:rFonts w:ascii="仿宋_GB2312"/>
          <w:szCs w:val="32"/>
        </w:rPr>
        <w:t>领域</w:t>
      </w:r>
      <w:r>
        <w:rPr>
          <w:rFonts w:hint="eastAsia" w:ascii="仿宋_GB2312"/>
          <w:szCs w:val="32"/>
        </w:rPr>
        <w:t>开展研发、创新与</w:t>
      </w:r>
      <w:r>
        <w:rPr>
          <w:rFonts w:ascii="仿宋_GB2312"/>
          <w:szCs w:val="32"/>
        </w:rPr>
        <w:t>成果转化，支持新技术在导盲、声控、肢体控制、图文识别、语音识别、语音合成等方面的</w:t>
      </w:r>
      <w:r>
        <w:rPr>
          <w:rFonts w:hint="eastAsia" w:ascii="仿宋_GB2312"/>
          <w:szCs w:val="32"/>
        </w:rPr>
        <w:t>推广</w:t>
      </w:r>
      <w:r>
        <w:rPr>
          <w:rFonts w:ascii="仿宋_GB2312"/>
          <w:szCs w:val="32"/>
        </w:rPr>
        <w:t>应用。</w:t>
      </w:r>
    </w:p>
    <w:p w14:paraId="2DAC5EB0">
      <w:pPr>
        <w:spacing w:line="600" w:lineRule="exact"/>
        <w:ind w:firstLine="640" w:firstLineChars="200"/>
        <w:rPr>
          <w:rFonts w:ascii="仿宋_GB2312"/>
          <w:color w:val="000000" w:themeColor="text1"/>
          <w:szCs w:val="32"/>
          <w14:textFill>
            <w14:solidFill>
              <w14:schemeClr w14:val="tx1"/>
            </w14:solidFill>
          </w14:textFill>
        </w:rPr>
      </w:pPr>
      <w:r>
        <w:rPr>
          <w:rFonts w:hint="eastAsia" w:ascii="黑体" w:hAnsi="黑体" w:eastAsia="黑体" w:cs="Noto Music"/>
          <w:color w:val="000000" w:themeColor="text1"/>
          <w:szCs w:val="32"/>
          <w14:textFill>
            <w14:solidFill>
              <w14:schemeClr w14:val="tx1"/>
            </w14:solidFill>
          </w14:textFill>
        </w:rPr>
        <w:t>第二十</w:t>
      </w:r>
      <w:r>
        <w:rPr>
          <w:rFonts w:hint="eastAsia" w:ascii="黑体" w:hAnsi="黑体" w:eastAsia="黑体" w:cs="Noto Music"/>
          <w:color w:val="000000" w:themeColor="text1"/>
          <w:szCs w:val="32"/>
          <w:lang w:val="en-US" w:eastAsia="zh-CN"/>
          <w14:textFill>
            <w14:solidFill>
              <w14:schemeClr w14:val="tx1"/>
            </w14:solidFill>
          </w14:textFill>
        </w:rPr>
        <w:t>五</w:t>
      </w:r>
      <w:r>
        <w:rPr>
          <w:rFonts w:hint="eastAsia" w:ascii="黑体" w:hAnsi="黑体" w:eastAsia="黑体" w:cs="Noto Music"/>
          <w:color w:val="000000" w:themeColor="text1"/>
          <w:szCs w:val="32"/>
          <w14:textFill>
            <w14:solidFill>
              <w14:schemeClr w14:val="tx1"/>
            </w14:solidFill>
          </w14:textFill>
        </w:rPr>
        <w:t>条</w:t>
      </w:r>
      <w:r>
        <w:rPr>
          <w:rFonts w:hint="eastAsia" w:ascii="黑体" w:hAnsi="黑体" w:eastAsia="黑体" w:cs="仿宋_GB2312"/>
          <w:color w:val="000000" w:themeColor="text1"/>
          <w:szCs w:val="32"/>
          <w14:textFill>
            <w14:solidFill>
              <w14:schemeClr w14:val="tx1"/>
            </w14:solidFill>
          </w14:textFill>
        </w:rPr>
        <w:t>【社会参与】</w:t>
      </w:r>
      <w:r>
        <w:rPr>
          <w:rFonts w:ascii="仿宋_GB2312"/>
          <w:color w:val="000000" w:themeColor="text1"/>
          <w:szCs w:val="32"/>
          <w14:textFill>
            <w14:solidFill>
              <w14:schemeClr w14:val="tx1"/>
            </w14:solidFill>
          </w14:textFill>
        </w:rPr>
        <w:t xml:space="preserve">  </w:t>
      </w:r>
      <w:r>
        <w:rPr>
          <w:rFonts w:hint="eastAsia" w:ascii="仿宋_GB2312"/>
          <w:color w:val="000000" w:themeColor="text1"/>
          <w:szCs w:val="32"/>
          <w14:textFill>
            <w14:solidFill>
              <w14:schemeClr w14:val="tx1"/>
            </w14:solidFill>
          </w14:textFill>
        </w:rPr>
        <w:t>鼓励和支持企业事业单位、社会组织、个人等社会力量，通过捐赠、资助或者提供志愿服务等方式，依法参与无障碍环境建设工作。</w:t>
      </w:r>
    </w:p>
    <w:p w14:paraId="35BB8EB0">
      <w:pPr>
        <w:spacing w:line="600" w:lineRule="exact"/>
        <w:ind w:firstLine="640" w:firstLineChars="200"/>
        <w:rPr>
          <w:rFonts w:ascii="仿宋_GB2312"/>
          <w:color w:val="000000" w:themeColor="text1"/>
          <w:szCs w:val="32"/>
          <w14:textFill>
            <w14:solidFill>
              <w14:schemeClr w14:val="tx1"/>
            </w14:solidFill>
          </w14:textFill>
        </w:rPr>
      </w:pPr>
      <w:r>
        <w:rPr>
          <w:rFonts w:hint="eastAsia" w:ascii="仿宋_GB2312"/>
          <w:color w:val="000000" w:themeColor="text1"/>
          <w:szCs w:val="32"/>
          <w14:textFill>
            <w14:solidFill>
              <w14:schemeClr w14:val="tx1"/>
            </w14:solidFill>
          </w14:textFill>
        </w:rPr>
        <w:t>本省志愿服务信息平台应当将无障碍服务纳入志愿服务项目和类别，为残疾人、老年人等有无障碍需求的社会成员发布无障碍需求信息，以及为志愿者、志愿服务组织开展相应的志愿服务提供便利。</w:t>
      </w:r>
    </w:p>
    <w:p w14:paraId="4738CB30">
      <w:pPr>
        <w:spacing w:line="600" w:lineRule="exact"/>
        <w:ind w:firstLine="640" w:firstLineChars="200"/>
        <w:rPr>
          <w:rFonts w:ascii="仿宋_GB2312"/>
          <w:color w:val="000000" w:themeColor="text1"/>
          <w:szCs w:val="32"/>
          <w14:textFill>
            <w14:solidFill>
              <w14:schemeClr w14:val="tx1"/>
            </w14:solidFill>
          </w14:textFill>
        </w:rPr>
      </w:pPr>
      <w:r>
        <w:rPr>
          <w:rFonts w:hint="eastAsia" w:ascii="黑体" w:hAnsi="黑体" w:eastAsia="黑体" w:cs="黑体"/>
          <w:color w:val="000000" w:themeColor="text1"/>
          <w:szCs w:val="32"/>
          <w14:textFill>
            <w14:solidFill>
              <w14:schemeClr w14:val="tx1"/>
            </w14:solidFill>
          </w14:textFill>
        </w:rPr>
        <w:t>第二十</w:t>
      </w:r>
      <w:r>
        <w:rPr>
          <w:rFonts w:hint="eastAsia" w:ascii="黑体" w:hAnsi="黑体" w:eastAsia="黑体" w:cs="黑体"/>
          <w:color w:val="000000" w:themeColor="text1"/>
          <w:szCs w:val="32"/>
          <w:lang w:val="en-US" w:eastAsia="zh-CN"/>
          <w14:textFill>
            <w14:solidFill>
              <w14:schemeClr w14:val="tx1"/>
            </w14:solidFill>
          </w14:textFill>
        </w:rPr>
        <w:t>六</w:t>
      </w:r>
      <w:r>
        <w:rPr>
          <w:rFonts w:hint="eastAsia" w:ascii="黑体" w:hAnsi="黑体" w:eastAsia="黑体" w:cs="黑体"/>
          <w:color w:val="000000" w:themeColor="text1"/>
          <w:szCs w:val="32"/>
          <w14:textFill>
            <w14:solidFill>
              <w14:schemeClr w14:val="tx1"/>
            </w14:solidFill>
          </w14:textFill>
        </w:rPr>
        <w:t xml:space="preserve">条【宣传教育】  </w:t>
      </w:r>
      <w:r>
        <w:rPr>
          <w:rFonts w:hint="eastAsia" w:ascii="仿宋_GB2312"/>
          <w:color w:val="000000" w:themeColor="text1"/>
          <w:szCs w:val="32"/>
          <w14:textFill>
            <w14:solidFill>
              <w14:schemeClr w14:val="tx1"/>
            </w14:solidFill>
          </w14:textFill>
        </w:rPr>
        <w:t>县级以上人民政府及有关部门、群团组织应当结合全球无障碍宣传日、全国助残日、老年节等，组织宣传无障碍环境理念和无障碍环境建设的法律、法规、政策，普及无障碍环境知识，传播无障碍环境文化，展示无障碍环境建设成果，推广无障碍应用技术及产品。</w:t>
      </w:r>
    </w:p>
    <w:p w14:paraId="41E7FE8A">
      <w:pPr>
        <w:widowControl/>
        <w:shd w:val="clear" w:color="auto" w:fill="FFFFFF"/>
        <w:spacing w:line="600" w:lineRule="exact"/>
        <w:ind w:firstLine="640" w:firstLineChars="200"/>
        <w:rPr>
          <w:rFonts w:ascii="仿宋_GB2312"/>
          <w:color w:val="000000" w:themeColor="text1"/>
          <w:szCs w:val="32"/>
          <w14:textFill>
            <w14:solidFill>
              <w14:schemeClr w14:val="tx1"/>
            </w14:solidFill>
          </w14:textFill>
        </w:rPr>
      </w:pPr>
      <w:r>
        <w:rPr>
          <w:rFonts w:hint="eastAsia" w:ascii="仿宋_GB2312"/>
          <w:color w:val="000000" w:themeColor="text1"/>
          <w:szCs w:val="32"/>
          <w14:textFill>
            <w14:solidFill>
              <w14:schemeClr w14:val="tx1"/>
            </w14:solidFill>
          </w14:textFill>
        </w:rPr>
        <w:t>广播、电视、报刊、互联网等媒体应当开展无障碍环境建设方面的公益宣传，并加强舆论监督。</w:t>
      </w:r>
    </w:p>
    <w:p w14:paraId="231AFCDA">
      <w:pPr>
        <w:shd w:val="clear" w:color="auto" w:fill="FFFFFF"/>
        <w:spacing w:line="600" w:lineRule="exact"/>
        <w:ind w:firstLine="640" w:firstLineChars="200"/>
        <w:rPr>
          <w:rFonts w:ascii="仿宋_GB2312"/>
          <w:color w:val="000000" w:themeColor="text1"/>
          <w:szCs w:val="32"/>
          <w14:textFill>
            <w14:solidFill>
              <w14:schemeClr w14:val="tx1"/>
            </w14:solidFill>
          </w14:textFill>
        </w:rPr>
      </w:pPr>
      <w:r>
        <w:rPr>
          <w:rFonts w:hint="eastAsia" w:ascii="黑体" w:hAnsi="黑体" w:eastAsia="黑体" w:cs="Noto Music"/>
          <w:color w:val="000000" w:themeColor="text1"/>
          <w:szCs w:val="32"/>
          <w14:textFill>
            <w14:solidFill>
              <w14:schemeClr w14:val="tx1"/>
            </w14:solidFill>
          </w14:textFill>
        </w:rPr>
        <w:t>第二十</w:t>
      </w:r>
      <w:r>
        <w:rPr>
          <w:rFonts w:hint="eastAsia" w:ascii="黑体" w:hAnsi="黑体" w:eastAsia="黑体" w:cs="Noto Music"/>
          <w:color w:val="000000" w:themeColor="text1"/>
          <w:szCs w:val="32"/>
          <w:lang w:val="en-US" w:eastAsia="zh-CN"/>
          <w14:textFill>
            <w14:solidFill>
              <w14:schemeClr w14:val="tx1"/>
            </w14:solidFill>
          </w14:textFill>
        </w:rPr>
        <w:t>七</w:t>
      </w:r>
      <w:r>
        <w:rPr>
          <w:rFonts w:hint="eastAsia" w:ascii="黑体" w:hAnsi="黑体" w:eastAsia="黑体" w:cs="Noto Music"/>
          <w:color w:val="000000" w:themeColor="text1"/>
          <w:szCs w:val="32"/>
          <w14:textFill>
            <w14:solidFill>
              <w14:schemeClr w14:val="tx1"/>
            </w14:solidFill>
          </w14:textFill>
        </w:rPr>
        <w:t>条</w:t>
      </w:r>
      <w:r>
        <w:rPr>
          <w:rFonts w:hint="eastAsia" w:ascii="黑体" w:hAnsi="黑体" w:eastAsia="黑体" w:cs="宋体"/>
          <w:color w:val="000000" w:themeColor="text1"/>
          <w:szCs w:val="32"/>
          <w14:textFill>
            <w14:solidFill>
              <w14:schemeClr w14:val="tx1"/>
            </w14:solidFill>
          </w14:textFill>
        </w:rPr>
        <w:t xml:space="preserve">【人员培训】  </w:t>
      </w:r>
      <w:r>
        <w:rPr>
          <w:rFonts w:hint="eastAsia" w:ascii="仿宋_GB2312"/>
          <w:color w:val="000000" w:themeColor="text1"/>
          <w:szCs w:val="32"/>
          <w14:textFill>
            <w14:solidFill>
              <w14:schemeClr w14:val="tx1"/>
            </w14:solidFill>
          </w14:textFill>
        </w:rPr>
        <w:t>支持各类教育机构以及其他社会主体通过开展培训、提供课程等多种形式，帮助残疾人、老年人等提高运用无障碍智能技术的能力。</w:t>
      </w:r>
    </w:p>
    <w:p w14:paraId="3CDF3715">
      <w:pPr>
        <w:shd w:val="clear" w:color="auto" w:fill="FFFFFF"/>
        <w:spacing w:line="600" w:lineRule="exact"/>
        <w:ind w:firstLine="640" w:firstLineChars="200"/>
        <w:rPr>
          <w:rFonts w:ascii="仿宋_GB2312"/>
          <w:color w:val="000000" w:themeColor="text1"/>
          <w:szCs w:val="32"/>
          <w14:textFill>
            <w14:solidFill>
              <w14:schemeClr w14:val="tx1"/>
            </w14:solidFill>
          </w14:textFill>
        </w:rPr>
      </w:pPr>
      <w:r>
        <w:rPr>
          <w:rFonts w:hint="eastAsia" w:ascii="仿宋_GB2312"/>
          <w:color w:val="000000" w:themeColor="text1"/>
          <w:szCs w:val="32"/>
          <w14:textFill>
            <w14:solidFill>
              <w14:schemeClr w14:val="tx1"/>
            </w14:solidFill>
          </w14:textFill>
        </w:rPr>
        <w:t>县级以上人民政府自然资源、住房城乡建设等主管部门应当将无障碍环境建设知识和技能纳入建设工程项目规划、设计、施工、监理、验收等相关从业人员的培训内容。</w:t>
      </w:r>
    </w:p>
    <w:p w14:paraId="738943F9">
      <w:pPr>
        <w:shd w:val="clear" w:color="auto" w:fill="FFFFFF"/>
        <w:spacing w:line="600" w:lineRule="exact"/>
        <w:ind w:firstLine="640" w:firstLineChars="200"/>
        <w:rPr>
          <w:rFonts w:ascii="仿宋_GB2312"/>
          <w:color w:val="000000" w:themeColor="text1"/>
          <w:szCs w:val="32"/>
          <w14:textFill>
            <w14:solidFill>
              <w14:schemeClr w14:val="tx1"/>
            </w14:solidFill>
          </w14:textFill>
        </w:rPr>
      </w:pPr>
      <w:r>
        <w:rPr>
          <w:rFonts w:hint="eastAsia" w:ascii="仿宋_GB2312"/>
          <w:color w:val="000000" w:themeColor="text1"/>
          <w:szCs w:val="32"/>
          <w14:textFill>
            <w14:solidFill>
              <w14:schemeClr w14:val="tx1"/>
            </w14:solidFill>
          </w14:textFill>
        </w:rPr>
        <w:t>提供无障碍服务的单位，应当通过模拟体验、现场操作等方式，对工作人员开展无障碍服务知识与技能培训。</w:t>
      </w:r>
    </w:p>
    <w:p w14:paraId="2E73C9BA">
      <w:pPr>
        <w:spacing w:line="600" w:lineRule="exact"/>
        <w:ind w:firstLine="640" w:firstLineChars="200"/>
        <w:rPr>
          <w:rFonts w:ascii="仿宋_GB2312"/>
          <w:color w:val="000000" w:themeColor="text1"/>
          <w:szCs w:val="32"/>
          <w14:textFill>
            <w14:solidFill>
              <w14:schemeClr w14:val="tx1"/>
            </w14:solidFill>
          </w14:textFill>
        </w:rPr>
      </w:pPr>
      <w:r>
        <w:rPr>
          <w:rFonts w:hint="eastAsia" w:ascii="黑体" w:hAnsi="黑体" w:eastAsia="黑体" w:cs="黑体"/>
          <w:color w:val="000000" w:themeColor="text1"/>
          <w:szCs w:val="32"/>
          <w14:textFill>
            <w14:solidFill>
              <w14:schemeClr w14:val="tx1"/>
            </w14:solidFill>
          </w14:textFill>
        </w:rPr>
        <w:t>第二十</w:t>
      </w:r>
      <w:r>
        <w:rPr>
          <w:rFonts w:hint="eastAsia" w:ascii="黑体" w:hAnsi="黑体" w:eastAsia="黑体" w:cs="黑体"/>
          <w:color w:val="000000" w:themeColor="text1"/>
          <w:szCs w:val="32"/>
          <w:lang w:val="en-US" w:eastAsia="zh-CN"/>
          <w14:textFill>
            <w14:solidFill>
              <w14:schemeClr w14:val="tx1"/>
            </w14:solidFill>
          </w14:textFill>
        </w:rPr>
        <w:t>八</w:t>
      </w:r>
      <w:r>
        <w:rPr>
          <w:rFonts w:hint="eastAsia" w:ascii="黑体" w:hAnsi="黑体" w:eastAsia="黑体" w:cs="黑体"/>
          <w:color w:val="000000" w:themeColor="text1"/>
          <w:szCs w:val="32"/>
          <w14:textFill>
            <w14:solidFill>
              <w14:schemeClr w14:val="tx1"/>
            </w14:solidFill>
          </w14:textFill>
        </w:rPr>
        <w:t xml:space="preserve">条【表彰奖励】  </w:t>
      </w:r>
      <w:r>
        <w:rPr>
          <w:rFonts w:hint="eastAsia" w:ascii="仿宋_GB2312"/>
          <w:color w:val="000000" w:themeColor="text1"/>
          <w:szCs w:val="32"/>
          <w14:textFill>
            <w14:solidFill>
              <w14:schemeClr w14:val="tx1"/>
            </w14:solidFill>
          </w14:textFill>
        </w:rPr>
        <w:t>县级以上人民政府按照国家和省的有关规定，对在无障碍环境建设工作中做出显著成绩的组织和个人予以表彰、奖励。</w:t>
      </w:r>
    </w:p>
    <w:p w14:paraId="3E417C78">
      <w:pPr>
        <w:widowControl/>
        <w:shd w:val="clear" w:color="auto" w:fill="FFFFFF"/>
        <w:spacing w:line="600" w:lineRule="exact"/>
        <w:ind w:firstLine="640" w:firstLineChars="200"/>
        <w:rPr>
          <w:rFonts w:ascii="仿宋_GB2312"/>
          <w:color w:val="000000" w:themeColor="text1"/>
          <w:szCs w:val="32"/>
          <w14:textFill>
            <w14:solidFill>
              <w14:schemeClr w14:val="tx1"/>
            </w14:solidFill>
          </w14:textFill>
        </w:rPr>
      </w:pPr>
      <w:r>
        <w:rPr>
          <w:rFonts w:hint="eastAsia" w:ascii="黑体" w:hAnsi="黑体" w:eastAsia="黑体" w:cs="黑体"/>
          <w:color w:val="000000" w:themeColor="text1"/>
          <w:szCs w:val="32"/>
          <w14:textFill>
            <w14:solidFill>
              <w14:schemeClr w14:val="tx1"/>
            </w14:solidFill>
          </w14:textFill>
        </w:rPr>
        <w:t>第</w:t>
      </w:r>
      <w:r>
        <w:rPr>
          <w:rFonts w:hint="eastAsia" w:ascii="黑体" w:hAnsi="黑体" w:eastAsia="黑体" w:cs="黑体"/>
          <w:color w:val="000000" w:themeColor="text1"/>
          <w:szCs w:val="32"/>
          <w:lang w:val="en-US" w:eastAsia="zh-CN"/>
          <w14:textFill>
            <w14:solidFill>
              <w14:schemeClr w14:val="tx1"/>
            </w14:solidFill>
          </w14:textFill>
        </w:rPr>
        <w:t>二十九</w:t>
      </w:r>
      <w:r>
        <w:rPr>
          <w:rFonts w:hint="eastAsia" w:ascii="黑体" w:hAnsi="黑体" w:eastAsia="黑体" w:cs="黑体"/>
          <w:color w:val="000000" w:themeColor="text1"/>
          <w:szCs w:val="32"/>
          <w14:textFill>
            <w14:solidFill>
              <w14:schemeClr w14:val="tx1"/>
            </w14:solidFill>
          </w14:textFill>
        </w:rPr>
        <w:t>条</w:t>
      </w:r>
      <w:bookmarkStart w:id="5" w:name="tiao_68_kuan_1"/>
      <w:bookmarkEnd w:id="5"/>
      <w:r>
        <w:rPr>
          <w:rFonts w:hint="eastAsia" w:ascii="黑体" w:hAnsi="黑体" w:eastAsia="黑体" w:cs="黑体"/>
          <w:color w:val="000000" w:themeColor="text1"/>
          <w:szCs w:val="32"/>
          <w14:textFill>
            <w14:solidFill>
              <w14:schemeClr w14:val="tx1"/>
            </w14:solidFill>
          </w14:textFill>
        </w:rPr>
        <w:t>【第三方评估】</w:t>
      </w:r>
      <w:r>
        <w:rPr>
          <w:rFonts w:ascii="黑体" w:hAnsi="黑体" w:eastAsia="黑体" w:cs="黑体"/>
          <w:color w:val="000000" w:themeColor="text1"/>
          <w:szCs w:val="32"/>
          <w14:textFill>
            <w14:solidFill>
              <w14:schemeClr w14:val="tx1"/>
            </w14:solidFill>
          </w14:textFill>
        </w:rPr>
        <w:t xml:space="preserve">  </w:t>
      </w:r>
      <w:r>
        <w:rPr>
          <w:rFonts w:hint="eastAsia" w:ascii="仿宋_GB2312" w:hAnsi="黑体" w:cs="黑体"/>
          <w:color w:val="000000" w:themeColor="text1"/>
          <w:szCs w:val="32"/>
          <w14:textFill>
            <w14:solidFill>
              <w14:schemeClr w14:val="tx1"/>
            </w14:solidFill>
          </w14:textFill>
        </w:rPr>
        <w:t>县级以上人民政府建立健全无障碍环境建设第三方评估机制，有关主管部门定期委托第三方机构开展评估，将评估结果作为开展无障碍环境建设工作的重要依据，并向社会公布。</w:t>
      </w:r>
    </w:p>
    <w:p w14:paraId="329ABFA3">
      <w:pPr>
        <w:widowControl/>
        <w:shd w:val="clear" w:color="auto" w:fill="FFFFFF"/>
        <w:spacing w:line="600" w:lineRule="exact"/>
        <w:ind w:firstLine="640" w:firstLineChars="200"/>
        <w:rPr>
          <w:rFonts w:ascii="仿宋_GB2312" w:hAnsi="黑体" w:cs="黑体"/>
          <w:color w:val="000000" w:themeColor="text1"/>
          <w:szCs w:val="32"/>
          <w14:textFill>
            <w14:solidFill>
              <w14:schemeClr w14:val="tx1"/>
            </w14:solidFill>
          </w14:textFill>
        </w:rPr>
      </w:pPr>
      <w:bookmarkStart w:id="6" w:name="tiao_68_kuan_2"/>
      <w:bookmarkEnd w:id="6"/>
      <w:r>
        <w:rPr>
          <w:rFonts w:hint="eastAsia" w:ascii="仿宋_GB2312" w:hAnsi="黑体" w:cs="黑体"/>
          <w:color w:val="000000" w:themeColor="text1"/>
          <w:szCs w:val="32"/>
          <w14:textFill>
            <w14:solidFill>
              <w14:schemeClr w14:val="tx1"/>
            </w14:solidFill>
          </w14:textFill>
        </w:rPr>
        <w:t>第三方机构开展评估时，应当邀请残疾人联合会、负责老龄工作的机构等参加，充分听取</w:t>
      </w:r>
      <w:r>
        <w:rPr>
          <w:rFonts w:ascii="仿宋_GB2312"/>
          <w:szCs w:val="32"/>
        </w:rPr>
        <w:t>残疾人、老年人等社会成员</w:t>
      </w:r>
      <w:r>
        <w:rPr>
          <w:rFonts w:hint="eastAsia" w:ascii="仿宋_GB2312" w:hAnsi="黑体" w:cs="黑体"/>
          <w:color w:val="000000" w:themeColor="text1"/>
          <w:szCs w:val="32"/>
          <w14:textFill>
            <w14:solidFill>
              <w14:schemeClr w14:val="tx1"/>
            </w14:solidFill>
          </w14:textFill>
        </w:rPr>
        <w:t>有关无障碍需求、使用感受等方面的意见。</w:t>
      </w:r>
    </w:p>
    <w:p w14:paraId="4BBFB5BA">
      <w:pPr>
        <w:spacing w:line="600" w:lineRule="exact"/>
        <w:ind w:firstLine="640" w:firstLineChars="200"/>
        <w:rPr>
          <w:rFonts w:ascii="仿宋_GB2312" w:hAnsi="仿宋_GB2312" w:cs="仿宋_GB2312"/>
          <w:color w:val="000000" w:themeColor="text1"/>
          <w:szCs w:val="32"/>
          <w:lang w:val="zh-CN"/>
          <w14:textFill>
            <w14:solidFill>
              <w14:schemeClr w14:val="tx1"/>
            </w14:solidFill>
          </w14:textFill>
        </w:rPr>
      </w:pPr>
      <w:r>
        <w:rPr>
          <w:rStyle w:val="23"/>
          <w:rFonts w:hint="eastAsia"/>
          <w:color w:val="000000" w:themeColor="text1"/>
          <w:szCs w:val="22"/>
          <w:lang w:val="zh-CN"/>
          <w14:textFill>
            <w14:solidFill>
              <w14:schemeClr w14:val="tx1"/>
            </w14:solidFill>
          </w14:textFill>
        </w:rPr>
        <w:t>第</w:t>
      </w:r>
      <w:r>
        <w:rPr>
          <w:rStyle w:val="23"/>
          <w:rFonts w:hint="eastAsia"/>
          <w:color w:val="000000" w:themeColor="text1"/>
          <w:szCs w:val="22"/>
          <w14:textFill>
            <w14:solidFill>
              <w14:schemeClr w14:val="tx1"/>
            </w14:solidFill>
          </w14:textFill>
        </w:rPr>
        <w:t>三十</w:t>
      </w:r>
      <w:r>
        <w:rPr>
          <w:rStyle w:val="23"/>
          <w:rFonts w:hint="eastAsia"/>
          <w:color w:val="000000" w:themeColor="text1"/>
          <w:szCs w:val="22"/>
          <w:lang w:val="zh-CN"/>
          <w14:textFill>
            <w14:solidFill>
              <w14:schemeClr w14:val="tx1"/>
            </w14:solidFill>
          </w14:textFill>
        </w:rPr>
        <w:t>条【意见建议】</w:t>
      </w:r>
      <w:r>
        <w:rPr>
          <w:rFonts w:hint="eastAsia" w:ascii="仿宋_GB2312" w:hAnsi="仿宋_GB2312" w:cs="仿宋_GB2312"/>
          <w:color w:val="000000" w:themeColor="text1"/>
          <w:szCs w:val="32"/>
          <w:lang w:val="zh-CN"/>
          <w14:textFill>
            <w14:solidFill>
              <w14:schemeClr w14:val="tx1"/>
            </w14:solidFill>
          </w14:textFill>
        </w:rPr>
        <w:t xml:space="preserve">  残疾人和残疾人组织、老年人和老年人组织、妇女联合会</w:t>
      </w:r>
      <w:r>
        <w:rPr>
          <w:rFonts w:hint="eastAsia" w:ascii="仿宋_GB2312" w:hAnsi="仿宋_GB2312" w:cs="仿宋_GB2312"/>
          <w:color w:val="000000" w:themeColor="text1"/>
          <w:szCs w:val="32"/>
          <w:lang w:val="en-US" w:eastAsia="zh-CN"/>
          <w14:textFill>
            <w14:solidFill>
              <w14:schemeClr w14:val="tx1"/>
            </w14:solidFill>
          </w14:textFill>
        </w:rPr>
        <w:t>等</w:t>
      </w:r>
      <w:r>
        <w:rPr>
          <w:rFonts w:hint="eastAsia" w:ascii="仿宋_GB2312" w:hAnsi="仿宋_GB2312" w:cs="仿宋_GB2312"/>
          <w:color w:val="000000" w:themeColor="text1"/>
          <w:szCs w:val="32"/>
          <w:lang w:val="zh-CN"/>
          <w14:textFill>
            <w14:solidFill>
              <w14:schemeClr w14:val="tx1"/>
            </w14:solidFill>
          </w14:textFill>
        </w:rPr>
        <w:t>可以对无障碍环境建设与管理情况，向有关部门提出意见和建议，有关部门应当及时办理和答复。</w:t>
      </w:r>
    </w:p>
    <w:p w14:paraId="10E47F2A">
      <w:pPr>
        <w:spacing w:line="600" w:lineRule="exact"/>
        <w:ind w:firstLine="640" w:firstLineChars="200"/>
        <w:rPr>
          <w:rFonts w:ascii="仿宋_GB2312" w:hAnsi="仿宋_GB2312" w:cs="仿宋_GB2312"/>
          <w:color w:val="000000" w:themeColor="text1"/>
          <w:szCs w:val="32"/>
          <w:lang w:val="zh-CN"/>
          <w14:textFill>
            <w14:solidFill>
              <w14:schemeClr w14:val="tx1"/>
            </w14:solidFill>
          </w14:textFill>
        </w:rPr>
      </w:pPr>
      <w:r>
        <w:rPr>
          <w:rFonts w:hint="eastAsia" w:ascii="仿宋_GB2312" w:hAnsi="仿宋_GB2312" w:cs="仿宋_GB2312"/>
          <w:color w:val="000000" w:themeColor="text1"/>
          <w:szCs w:val="32"/>
          <w:lang w:val="zh-CN"/>
          <w14:textFill>
            <w14:solidFill>
              <w14:schemeClr w14:val="tx1"/>
            </w14:solidFill>
          </w14:textFill>
        </w:rPr>
        <w:t>残疾人联合会、负责老龄工作的机构、妇女联合会等可以组织残疾人代表、老年人代表和妇女代表等开展无障碍设施、信息交流和公共服务的使用或者体验活动，对本地行政区域内的无障碍环境建设情况开展调查评估，向</w:t>
      </w:r>
      <w:r>
        <w:rPr>
          <w:rFonts w:hint="eastAsia" w:ascii="仿宋_GB2312" w:hAnsi="仿宋_GB2312" w:cs="仿宋_GB2312"/>
          <w:color w:val="000000" w:themeColor="text1"/>
          <w:szCs w:val="32"/>
          <w:lang w:val="en-US" w:eastAsia="zh-CN"/>
          <w14:textFill>
            <w14:solidFill>
              <w14:schemeClr w14:val="tx1"/>
            </w14:solidFill>
          </w14:textFill>
        </w:rPr>
        <w:t>本级</w:t>
      </w:r>
      <w:r>
        <w:rPr>
          <w:rFonts w:hint="eastAsia" w:ascii="仿宋_GB2312" w:hAnsi="仿宋_GB2312" w:cs="仿宋_GB2312"/>
          <w:color w:val="000000" w:themeColor="text1"/>
          <w:szCs w:val="32"/>
          <w:lang w:val="zh-CN"/>
          <w14:textFill>
            <w14:solidFill>
              <w14:schemeClr w14:val="tx1"/>
            </w14:solidFill>
          </w14:textFill>
        </w:rPr>
        <w:t>人民政府提出意见和建议。</w:t>
      </w:r>
    </w:p>
    <w:p w14:paraId="54A420D2">
      <w:pPr>
        <w:shd w:val="clear" w:color="auto" w:fill="FFFFFF"/>
        <w:spacing w:line="600" w:lineRule="exact"/>
        <w:ind w:firstLine="640" w:firstLineChars="200"/>
        <w:rPr>
          <w:rFonts w:ascii="仿宋_GB2312"/>
          <w:color w:val="000000" w:themeColor="text1"/>
          <w:szCs w:val="32"/>
          <w14:textFill>
            <w14:solidFill>
              <w14:schemeClr w14:val="tx1"/>
            </w14:solidFill>
          </w14:textFill>
        </w:rPr>
      </w:pPr>
      <w:r>
        <w:rPr>
          <w:rFonts w:hint="eastAsia" w:ascii="黑体" w:hAnsi="黑体" w:eastAsia="黑体" w:cs="Noto Music"/>
          <w:color w:val="000000" w:themeColor="text1"/>
          <w:szCs w:val="32"/>
          <w14:textFill>
            <w14:solidFill>
              <w14:schemeClr w14:val="tx1"/>
            </w14:solidFill>
          </w14:textFill>
        </w:rPr>
        <w:t>第</w:t>
      </w:r>
      <w:r>
        <w:rPr>
          <w:rStyle w:val="23"/>
          <w:rFonts w:hint="eastAsia"/>
          <w:color w:val="000000" w:themeColor="text1"/>
          <w:szCs w:val="22"/>
          <w14:textFill>
            <w14:solidFill>
              <w14:schemeClr w14:val="tx1"/>
            </w14:solidFill>
          </w14:textFill>
        </w:rPr>
        <w:t>三十</w:t>
      </w:r>
      <w:r>
        <w:rPr>
          <w:rStyle w:val="23"/>
          <w:rFonts w:hint="eastAsia" w:eastAsia="黑体"/>
          <w:color w:val="000000" w:themeColor="text1"/>
          <w:szCs w:val="22"/>
          <w:lang w:val="en-US" w:eastAsia="zh-CN"/>
          <w14:textFill>
            <w14:solidFill>
              <w14:schemeClr w14:val="tx1"/>
            </w14:solidFill>
          </w14:textFill>
        </w:rPr>
        <w:t>一</w:t>
      </w:r>
      <w:r>
        <w:rPr>
          <w:rFonts w:hint="eastAsia" w:ascii="黑体" w:hAnsi="黑体" w:eastAsia="黑体" w:cs="Noto Music"/>
          <w:color w:val="000000" w:themeColor="text1"/>
          <w:szCs w:val="32"/>
          <w14:textFill>
            <w14:solidFill>
              <w14:schemeClr w14:val="tx1"/>
            </w14:solidFill>
          </w14:textFill>
        </w:rPr>
        <w:t>条</w:t>
      </w:r>
      <w:r>
        <w:rPr>
          <w:rFonts w:hint="eastAsia" w:ascii="黑体" w:hAnsi="黑体" w:eastAsia="黑体" w:cs="仿宋_GB2312"/>
          <w:color w:val="000000" w:themeColor="text1"/>
          <w:szCs w:val="32"/>
          <w14:textFill>
            <w14:solidFill>
              <w14:schemeClr w14:val="tx1"/>
            </w14:solidFill>
          </w14:textFill>
        </w:rPr>
        <w:t>【投诉举报】</w:t>
      </w:r>
      <w:r>
        <w:rPr>
          <w:rFonts w:hint="eastAsia" w:ascii="仿宋_GB2312"/>
          <w:color w:val="000000" w:themeColor="text1"/>
          <w:szCs w:val="32"/>
          <w14:textFill>
            <w14:solidFill>
              <w14:schemeClr w14:val="tx1"/>
            </w14:solidFill>
          </w14:textFill>
        </w:rPr>
        <w:t xml:space="preserve"> </w:t>
      </w:r>
      <w:r>
        <w:rPr>
          <w:rFonts w:ascii="仿宋_GB2312"/>
          <w:color w:val="000000" w:themeColor="text1"/>
          <w:szCs w:val="32"/>
          <w14:textFill>
            <w14:solidFill>
              <w14:schemeClr w14:val="tx1"/>
            </w14:solidFill>
          </w14:textFill>
        </w:rPr>
        <w:t xml:space="preserve"> </w:t>
      </w:r>
      <w:r>
        <w:rPr>
          <w:rFonts w:hint="eastAsia" w:ascii="仿宋_GB2312"/>
          <w:color w:val="000000" w:themeColor="text1"/>
          <w:szCs w:val="32"/>
          <w14:textFill>
            <w14:solidFill>
              <w14:schemeClr w14:val="tx1"/>
            </w14:solidFill>
          </w14:textFill>
        </w:rPr>
        <w:t>对</w:t>
      </w:r>
      <w:r>
        <w:rPr>
          <w:rFonts w:ascii="仿宋_GB2312"/>
          <w:szCs w:val="32"/>
        </w:rPr>
        <w:t>擅自改变无障碍设施的用途或者非法占用、损坏无障碍设施</w:t>
      </w:r>
      <w:r>
        <w:rPr>
          <w:rFonts w:hint="eastAsia" w:ascii="仿宋_GB2312"/>
          <w:color w:val="000000" w:themeColor="text1"/>
          <w:szCs w:val="32"/>
          <w14:textFill>
            <w14:solidFill>
              <w14:schemeClr w14:val="tx1"/>
            </w14:solidFill>
          </w14:textFill>
        </w:rPr>
        <w:t>的，任何组织或者个人都有权予以劝阻、制止或者向有关行政主管部门投诉或者举报。有关行政主管部门接到投诉或者举报后，应当及时依法处理。</w:t>
      </w:r>
    </w:p>
    <w:p w14:paraId="3CA6643D">
      <w:pPr>
        <w:shd w:val="clear" w:color="auto" w:fill="FFFFFF"/>
        <w:spacing w:line="600" w:lineRule="exact"/>
        <w:ind w:firstLine="640" w:firstLineChars="200"/>
        <w:rPr>
          <w:rFonts w:ascii="仿宋_GB2312"/>
          <w:color w:val="000000" w:themeColor="text1"/>
          <w:szCs w:val="32"/>
          <w14:textFill>
            <w14:solidFill>
              <w14:schemeClr w14:val="tx1"/>
            </w14:solidFill>
          </w14:textFill>
        </w:rPr>
      </w:pPr>
      <w:r>
        <w:rPr>
          <w:rFonts w:hint="eastAsia" w:ascii="仿宋_GB2312"/>
          <w:color w:val="000000" w:themeColor="text1"/>
          <w:szCs w:val="32"/>
          <w14:textFill>
            <w14:solidFill>
              <w14:schemeClr w14:val="tx1"/>
            </w14:solidFill>
          </w14:textFill>
        </w:rPr>
        <w:t>县级以上人民政府及其有关部门应当完善无障碍环境投诉举报机制，接到投诉举报的部门应当及时处理或者转交有受理权的部门处理，并将处理结果及时答复投诉举报的单位或者个人。</w:t>
      </w:r>
    </w:p>
    <w:p w14:paraId="17075480">
      <w:pPr>
        <w:spacing w:line="600" w:lineRule="exact"/>
        <w:ind w:firstLine="640" w:firstLineChars="200"/>
        <w:rPr>
          <w:rFonts w:ascii="仿宋_GB2312"/>
          <w:color w:val="000000" w:themeColor="text1"/>
          <w:szCs w:val="32"/>
          <w14:textFill>
            <w14:solidFill>
              <w14:schemeClr w14:val="tx1"/>
            </w14:solidFill>
          </w14:textFill>
        </w:rPr>
      </w:pPr>
      <w:r>
        <w:rPr>
          <w:rFonts w:hint="eastAsia" w:ascii="黑体" w:hAnsi="黑体" w:eastAsia="黑体" w:cs="黑体"/>
          <w:color w:val="000000" w:themeColor="text1"/>
          <w:szCs w:val="32"/>
          <w14:textFill>
            <w14:solidFill>
              <w14:schemeClr w14:val="tx1"/>
            </w14:solidFill>
          </w14:textFill>
        </w:rPr>
        <w:t>第</w:t>
      </w:r>
      <w:r>
        <w:rPr>
          <w:rStyle w:val="23"/>
          <w:rFonts w:hint="eastAsia"/>
          <w:color w:val="000000" w:themeColor="text1"/>
          <w:szCs w:val="22"/>
          <w14:textFill>
            <w14:solidFill>
              <w14:schemeClr w14:val="tx1"/>
            </w14:solidFill>
          </w14:textFill>
        </w:rPr>
        <w:t>三十</w:t>
      </w:r>
      <w:r>
        <w:rPr>
          <w:rStyle w:val="23"/>
          <w:rFonts w:hint="eastAsia" w:eastAsia="黑体"/>
          <w:color w:val="000000" w:themeColor="text1"/>
          <w:szCs w:val="22"/>
          <w:lang w:val="en-US" w:eastAsia="zh-CN"/>
          <w14:textFill>
            <w14:solidFill>
              <w14:schemeClr w14:val="tx1"/>
            </w14:solidFill>
          </w14:textFill>
        </w:rPr>
        <w:t>二</w:t>
      </w:r>
      <w:r>
        <w:rPr>
          <w:rFonts w:hint="eastAsia" w:ascii="黑体" w:hAnsi="黑体" w:eastAsia="黑体" w:cs="黑体"/>
          <w:color w:val="000000" w:themeColor="text1"/>
          <w:szCs w:val="32"/>
          <w14:textFill>
            <w14:solidFill>
              <w14:schemeClr w14:val="tx1"/>
            </w14:solidFill>
          </w14:textFill>
        </w:rPr>
        <w:t xml:space="preserve">条【公益诉讼】  </w:t>
      </w:r>
      <w:r>
        <w:rPr>
          <w:rFonts w:hint="eastAsia" w:ascii="仿宋_GB2312" w:hAnsi="仿宋_GB2312" w:cs="仿宋_GB2312"/>
          <w:color w:val="000000" w:themeColor="text1"/>
          <w:szCs w:val="32"/>
          <w14:textFill>
            <w14:solidFill>
              <w14:schemeClr w14:val="tx1"/>
            </w14:solidFill>
          </w14:textFill>
        </w:rPr>
        <w:t>人民检察院在履行职责中发现无障碍环境建设领域负有监督管理职责的行政机关违法行使职权或者不作为，致使国家利益或者社会公共利益受到侵害的，可以向行政机关提出检察建议，督促其依法履行职责；有关行政机关应当依法履行职责，落实检察建议。行政机关不依法履行职责的，人民检察院依法向人民法院提起行政公益诉讼。</w:t>
      </w:r>
    </w:p>
    <w:p w14:paraId="7A7673C0">
      <w:pPr>
        <w:widowControl/>
        <w:shd w:val="clear" w:color="auto" w:fill="FFFFFF"/>
        <w:spacing w:line="600" w:lineRule="exact"/>
        <w:ind w:firstLine="640" w:firstLineChars="200"/>
        <w:rPr>
          <w:rFonts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县级以上人民政府及其有关部门、企业事业单位、社会团体以及个人，应当支持、配合检察机关依法开展的无障碍环境建设领域行政公益诉讼工作。</w:t>
      </w:r>
    </w:p>
    <w:p w14:paraId="11A450AB">
      <w:pPr>
        <w:spacing w:line="600" w:lineRule="exact"/>
        <w:ind w:firstLine="640" w:firstLineChars="200"/>
        <w:rPr>
          <w:rFonts w:ascii="仿宋_GB2312" w:hAnsi="仿宋_GB2312" w:cs="宋体"/>
          <w:color w:val="000000" w:themeColor="text1"/>
          <w:szCs w:val="32"/>
          <w14:textFill>
            <w14:solidFill>
              <w14:schemeClr w14:val="tx1"/>
            </w14:solidFill>
          </w14:textFill>
        </w:rPr>
      </w:pPr>
      <w:r>
        <w:rPr>
          <w:rFonts w:hint="eastAsia" w:eastAsia="黑体" w:cs="黑体"/>
          <w:color w:val="000000" w:themeColor="text1"/>
          <w:szCs w:val="32"/>
          <w14:textFill>
            <w14:solidFill>
              <w14:schemeClr w14:val="tx1"/>
            </w14:solidFill>
          </w14:textFill>
        </w:rPr>
        <w:t>第三十</w:t>
      </w:r>
      <w:r>
        <w:rPr>
          <w:rFonts w:hint="eastAsia" w:eastAsia="黑体" w:cs="黑体"/>
          <w:color w:val="000000" w:themeColor="text1"/>
          <w:szCs w:val="32"/>
          <w:lang w:val="en-US" w:eastAsia="zh-CN"/>
          <w14:textFill>
            <w14:solidFill>
              <w14:schemeClr w14:val="tx1"/>
            </w14:solidFill>
          </w14:textFill>
        </w:rPr>
        <w:t>三</w:t>
      </w:r>
      <w:r>
        <w:rPr>
          <w:rFonts w:hint="eastAsia" w:eastAsia="黑体" w:cs="黑体"/>
          <w:color w:val="000000" w:themeColor="text1"/>
          <w:szCs w:val="32"/>
          <w14:textFill>
            <w14:solidFill>
              <w14:schemeClr w14:val="tx1"/>
            </w14:solidFill>
          </w14:textFill>
        </w:rPr>
        <w:t>条【法律责任】</w:t>
      </w:r>
      <w:r>
        <w:rPr>
          <w:rFonts w:hint="eastAsia" w:ascii="宋体" w:hAnsi="宋体" w:eastAsia="宋体" w:cs="宋体"/>
          <w:color w:val="000000" w:themeColor="text1"/>
          <w:szCs w:val="32"/>
          <w14:textFill>
            <w14:solidFill>
              <w14:schemeClr w14:val="tx1"/>
            </w14:solidFill>
          </w14:textFill>
        </w:rPr>
        <w:t xml:space="preserve">  </w:t>
      </w:r>
      <w:r>
        <w:rPr>
          <w:rFonts w:hint="eastAsia" w:ascii="仿宋_GB2312" w:hAnsi="仿宋_GB2312" w:cs="宋体"/>
          <w:color w:val="000000" w:themeColor="text1"/>
          <w:szCs w:val="32"/>
          <w14:textFill>
            <w14:solidFill>
              <w14:schemeClr w14:val="tx1"/>
            </w14:solidFill>
          </w14:textFill>
        </w:rPr>
        <w:t>违反本条例规定的行为，依照《中华人民共和国无障碍环境建设法》等有关法律、法规和规章规定处理；构成犯罪的，依法追究刑事责任。</w:t>
      </w:r>
    </w:p>
    <w:p w14:paraId="6F4F3825">
      <w:pPr>
        <w:spacing w:line="600" w:lineRule="exact"/>
        <w:ind w:firstLine="640" w:firstLineChars="200"/>
        <w:rPr>
          <w:rFonts w:ascii="仿宋_GB2312" w:hAnsi="仿宋_GB2312" w:cs="宋体"/>
          <w:color w:val="000000" w:themeColor="text1"/>
          <w:szCs w:val="32"/>
          <w14:textFill>
            <w14:solidFill>
              <w14:schemeClr w14:val="tx1"/>
            </w14:solidFill>
          </w14:textFill>
        </w:rPr>
      </w:pPr>
      <w:bookmarkStart w:id="7" w:name="第四十四条"/>
      <w:bookmarkEnd w:id="7"/>
      <w:bookmarkStart w:id="8" w:name="第四十三条"/>
      <w:bookmarkEnd w:id="8"/>
      <w:r>
        <w:rPr>
          <w:rFonts w:hint="eastAsia" w:ascii="仿宋_GB2312" w:hAnsi="仿宋_GB2312" w:cs="宋体"/>
          <w:color w:val="000000" w:themeColor="text1"/>
          <w:szCs w:val="32"/>
          <w14:textFill>
            <w14:solidFill>
              <w14:schemeClr w14:val="tx1"/>
            </w14:solidFill>
          </w14:textFill>
        </w:rPr>
        <w:t>国家工作人员在无障碍环境建设工作中滥用职权、玩忽职守、徇私舞弊的，依法给予处分。</w:t>
      </w:r>
    </w:p>
    <w:p w14:paraId="1C3C1709">
      <w:pPr>
        <w:spacing w:line="600" w:lineRule="exact"/>
        <w:ind w:firstLine="640" w:firstLineChars="200"/>
        <w:rPr>
          <w:color w:val="000000" w:themeColor="text1"/>
          <w14:textFill>
            <w14:solidFill>
              <w14:schemeClr w14:val="tx1"/>
            </w14:solidFill>
          </w14:textFill>
        </w:rPr>
      </w:pPr>
      <w:r>
        <w:rPr>
          <w:rStyle w:val="23"/>
          <w:rFonts w:hint="eastAsia"/>
          <w:color w:val="000000" w:themeColor="text1"/>
          <w:szCs w:val="22"/>
          <w:lang w:val="zh-CN"/>
          <w14:textFill>
            <w14:solidFill>
              <w14:schemeClr w14:val="tx1"/>
            </w14:solidFill>
          </w14:textFill>
        </w:rPr>
        <w:t>第</w:t>
      </w:r>
      <w:r>
        <w:rPr>
          <w:rStyle w:val="23"/>
          <w:rFonts w:hint="eastAsia"/>
          <w:color w:val="000000" w:themeColor="text1"/>
          <w:szCs w:val="22"/>
          <w14:textFill>
            <w14:solidFill>
              <w14:schemeClr w14:val="tx1"/>
            </w14:solidFill>
          </w14:textFill>
        </w:rPr>
        <w:t>三十</w:t>
      </w:r>
      <w:r>
        <w:rPr>
          <w:rStyle w:val="23"/>
          <w:rFonts w:hint="eastAsia" w:eastAsia="黑体"/>
          <w:color w:val="000000" w:themeColor="text1"/>
          <w:szCs w:val="22"/>
          <w:lang w:val="en-US" w:eastAsia="zh-CN"/>
          <w14:textFill>
            <w14:solidFill>
              <w14:schemeClr w14:val="tx1"/>
            </w14:solidFill>
          </w14:textFill>
        </w:rPr>
        <w:t>四</w:t>
      </w:r>
      <w:r>
        <w:rPr>
          <w:rStyle w:val="23"/>
          <w:rFonts w:hint="eastAsia"/>
          <w:color w:val="000000" w:themeColor="text1"/>
          <w:szCs w:val="22"/>
          <w:lang w:val="zh-CN"/>
          <w14:textFill>
            <w14:solidFill>
              <w14:schemeClr w14:val="tx1"/>
            </w14:solidFill>
          </w14:textFill>
        </w:rPr>
        <w:t xml:space="preserve">条【施行日期】 </w:t>
      </w:r>
      <w:r>
        <w:rPr>
          <w:rFonts w:hint="eastAsia" w:ascii="仿宋_GB2312" w:hAnsi="仿宋_GB2312" w:cs="仿宋_GB2312"/>
          <w:color w:val="000000" w:themeColor="text1"/>
          <w:szCs w:val="32"/>
          <w:lang w:val="zh-CN"/>
          <w14:textFill>
            <w14:solidFill>
              <w14:schemeClr w14:val="tx1"/>
            </w14:solidFill>
          </w14:textFill>
        </w:rPr>
        <w:t xml:space="preserve"> 本条例自xxxx年x月x日起施行。</w:t>
      </w:r>
    </w:p>
    <w:sectPr>
      <w:footerReference r:id="rId5" w:type="default"/>
      <w:pgSz w:w="11906" w:h="16838"/>
      <w:pgMar w:top="1644" w:right="1474" w:bottom="1418" w:left="1588" w:header="851" w:footer="992" w:gutter="0"/>
      <w:pgNumType w:fmt="numberInDash" w:start="1"/>
      <w:cols w:space="0" w:num="1"/>
      <w:docGrid w:type="lines" w:linePitch="31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 w:name="Noto Music">
    <w:altName w:val="AmdtSymbols"/>
    <w:panose1 w:val="020B0502040504020204"/>
    <w:charset w:val="00"/>
    <w:family w:val="auto"/>
    <w:pitch w:val="default"/>
    <w:sig w:usb0="00000000" w:usb1="00000000" w:usb2="01000000" w:usb3="00000000" w:csb0="00000001" w:csb1="00000000"/>
  </w:font>
  <w:font w:name="AmdtSymbols">
    <w:panose1 w:val="020005000000000200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1D51A">
    <w:pPr>
      <w:pStyle w:val="7"/>
      <w:jc w:val="right"/>
      <w:rPr>
        <w:rFonts w:asciiTheme="minorEastAsia" w:hAnsiTheme="minorEastAsia" w:eastAsiaTheme="min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BD8E7">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1BD8E7">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2FA92B96">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trackRevisions w:val="1"/>
  <w:documentProtection w:enforcement="0"/>
  <w:defaultTabStop w:val="420"/>
  <w:drawingGridVerticalSpacing w:val="15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0451BC"/>
    <w:rsid w:val="0002608F"/>
    <w:rsid w:val="00056B56"/>
    <w:rsid w:val="00082A64"/>
    <w:rsid w:val="00083A3A"/>
    <w:rsid w:val="000B01CD"/>
    <w:rsid w:val="000B5A9D"/>
    <w:rsid w:val="000E0D0D"/>
    <w:rsid w:val="000E75CD"/>
    <w:rsid w:val="001171BE"/>
    <w:rsid w:val="001233C5"/>
    <w:rsid w:val="00130174"/>
    <w:rsid w:val="00140653"/>
    <w:rsid w:val="00140DEA"/>
    <w:rsid w:val="001431E5"/>
    <w:rsid w:val="00182D12"/>
    <w:rsid w:val="001A279C"/>
    <w:rsid w:val="001B03E4"/>
    <w:rsid w:val="001C7C31"/>
    <w:rsid w:val="001D5DF4"/>
    <w:rsid w:val="00223348"/>
    <w:rsid w:val="002603B7"/>
    <w:rsid w:val="00266490"/>
    <w:rsid w:val="00267307"/>
    <w:rsid w:val="0028001D"/>
    <w:rsid w:val="00285DA5"/>
    <w:rsid w:val="0028719B"/>
    <w:rsid w:val="002A1348"/>
    <w:rsid w:val="002D0AF4"/>
    <w:rsid w:val="002D5F79"/>
    <w:rsid w:val="002E2BCE"/>
    <w:rsid w:val="003332E5"/>
    <w:rsid w:val="00351FDA"/>
    <w:rsid w:val="00382E8F"/>
    <w:rsid w:val="003A168D"/>
    <w:rsid w:val="003C3801"/>
    <w:rsid w:val="00403B3D"/>
    <w:rsid w:val="00416A45"/>
    <w:rsid w:val="00416FC4"/>
    <w:rsid w:val="00420616"/>
    <w:rsid w:val="004234DA"/>
    <w:rsid w:val="004256DC"/>
    <w:rsid w:val="00427EA5"/>
    <w:rsid w:val="00435FC3"/>
    <w:rsid w:val="00440600"/>
    <w:rsid w:val="00474D69"/>
    <w:rsid w:val="00476C67"/>
    <w:rsid w:val="00492B6F"/>
    <w:rsid w:val="004C62A7"/>
    <w:rsid w:val="004C6FF0"/>
    <w:rsid w:val="004E6F4C"/>
    <w:rsid w:val="005343D2"/>
    <w:rsid w:val="00543545"/>
    <w:rsid w:val="00550423"/>
    <w:rsid w:val="00556B40"/>
    <w:rsid w:val="005966D1"/>
    <w:rsid w:val="005A1841"/>
    <w:rsid w:val="005A6A7C"/>
    <w:rsid w:val="005D666B"/>
    <w:rsid w:val="0063138C"/>
    <w:rsid w:val="00686F84"/>
    <w:rsid w:val="00687EC0"/>
    <w:rsid w:val="00734F67"/>
    <w:rsid w:val="00751A2B"/>
    <w:rsid w:val="007A5469"/>
    <w:rsid w:val="007B39B6"/>
    <w:rsid w:val="007C37D1"/>
    <w:rsid w:val="007C76F0"/>
    <w:rsid w:val="007D5D9F"/>
    <w:rsid w:val="007E1FC9"/>
    <w:rsid w:val="007E5FD4"/>
    <w:rsid w:val="007F2710"/>
    <w:rsid w:val="00806042"/>
    <w:rsid w:val="008228C9"/>
    <w:rsid w:val="008436B5"/>
    <w:rsid w:val="00891A2A"/>
    <w:rsid w:val="008D42EE"/>
    <w:rsid w:val="008D4C1C"/>
    <w:rsid w:val="008E4659"/>
    <w:rsid w:val="00935752"/>
    <w:rsid w:val="0095070A"/>
    <w:rsid w:val="009A22F2"/>
    <w:rsid w:val="009C6006"/>
    <w:rsid w:val="009E071E"/>
    <w:rsid w:val="009F7851"/>
    <w:rsid w:val="00A00289"/>
    <w:rsid w:val="00A61792"/>
    <w:rsid w:val="00A6578F"/>
    <w:rsid w:val="00A7592D"/>
    <w:rsid w:val="00AC19C1"/>
    <w:rsid w:val="00B11CB7"/>
    <w:rsid w:val="00B31C58"/>
    <w:rsid w:val="00BA790D"/>
    <w:rsid w:val="00BD6434"/>
    <w:rsid w:val="00BD7E21"/>
    <w:rsid w:val="00C01F49"/>
    <w:rsid w:val="00C10495"/>
    <w:rsid w:val="00C23BE9"/>
    <w:rsid w:val="00C41D43"/>
    <w:rsid w:val="00C879AC"/>
    <w:rsid w:val="00C9504C"/>
    <w:rsid w:val="00CB4E24"/>
    <w:rsid w:val="00CB5828"/>
    <w:rsid w:val="00CC3C90"/>
    <w:rsid w:val="00CD4267"/>
    <w:rsid w:val="00CE492F"/>
    <w:rsid w:val="00CE70A8"/>
    <w:rsid w:val="00CF3E24"/>
    <w:rsid w:val="00D22CC6"/>
    <w:rsid w:val="00D34152"/>
    <w:rsid w:val="00D37B26"/>
    <w:rsid w:val="00DA1ADB"/>
    <w:rsid w:val="00DB1196"/>
    <w:rsid w:val="00DB1E30"/>
    <w:rsid w:val="00DB4DB3"/>
    <w:rsid w:val="00DE7790"/>
    <w:rsid w:val="00DF6405"/>
    <w:rsid w:val="00E304CA"/>
    <w:rsid w:val="00E45069"/>
    <w:rsid w:val="00E532E9"/>
    <w:rsid w:val="00E57C76"/>
    <w:rsid w:val="00E86953"/>
    <w:rsid w:val="00E93E39"/>
    <w:rsid w:val="00EE7E66"/>
    <w:rsid w:val="00F250A8"/>
    <w:rsid w:val="00F36D99"/>
    <w:rsid w:val="00F7347D"/>
    <w:rsid w:val="00F7561B"/>
    <w:rsid w:val="00FA105D"/>
    <w:rsid w:val="00FC15D7"/>
    <w:rsid w:val="00FC5F9F"/>
    <w:rsid w:val="00FE7848"/>
    <w:rsid w:val="00FF0250"/>
    <w:rsid w:val="06831821"/>
    <w:rsid w:val="072059DD"/>
    <w:rsid w:val="08187561"/>
    <w:rsid w:val="0A432ABB"/>
    <w:rsid w:val="0BD22349"/>
    <w:rsid w:val="0C344DB1"/>
    <w:rsid w:val="0D6D37BD"/>
    <w:rsid w:val="10096ED9"/>
    <w:rsid w:val="154A675C"/>
    <w:rsid w:val="18E33AF7"/>
    <w:rsid w:val="19D368EA"/>
    <w:rsid w:val="1C90029D"/>
    <w:rsid w:val="1FD562BA"/>
    <w:rsid w:val="232A49A5"/>
    <w:rsid w:val="272200E8"/>
    <w:rsid w:val="2AF464A5"/>
    <w:rsid w:val="2E46035B"/>
    <w:rsid w:val="2FF168EE"/>
    <w:rsid w:val="31464ABB"/>
    <w:rsid w:val="33E31D8B"/>
    <w:rsid w:val="34642697"/>
    <w:rsid w:val="364D3F88"/>
    <w:rsid w:val="37AC3839"/>
    <w:rsid w:val="384C4350"/>
    <w:rsid w:val="3D050B77"/>
    <w:rsid w:val="3FA65476"/>
    <w:rsid w:val="408E3389"/>
    <w:rsid w:val="478B5C45"/>
    <w:rsid w:val="494A3BF2"/>
    <w:rsid w:val="49767635"/>
    <w:rsid w:val="49A475BF"/>
    <w:rsid w:val="4ACD3044"/>
    <w:rsid w:val="4CBD4971"/>
    <w:rsid w:val="4E0451BC"/>
    <w:rsid w:val="4EB05003"/>
    <w:rsid w:val="4F302401"/>
    <w:rsid w:val="50565456"/>
    <w:rsid w:val="53851BF4"/>
    <w:rsid w:val="5E1625CE"/>
    <w:rsid w:val="5E2E5564"/>
    <w:rsid w:val="5EF315AC"/>
    <w:rsid w:val="5FAB62E8"/>
    <w:rsid w:val="600D3694"/>
    <w:rsid w:val="6068328D"/>
    <w:rsid w:val="68F522EC"/>
    <w:rsid w:val="698A61A5"/>
    <w:rsid w:val="6A473189"/>
    <w:rsid w:val="6B7AA1B8"/>
    <w:rsid w:val="6BE626FD"/>
    <w:rsid w:val="6E9B256F"/>
    <w:rsid w:val="6EDF45FE"/>
    <w:rsid w:val="6EF12BBF"/>
    <w:rsid w:val="759C1915"/>
    <w:rsid w:val="77FA6A46"/>
    <w:rsid w:val="786F6749"/>
    <w:rsid w:val="7B947E4C"/>
    <w:rsid w:val="7C3F0B8D"/>
    <w:rsid w:val="7EEF0F7B"/>
    <w:rsid w:val="7F8F6BFA"/>
    <w:rsid w:val="7FA26DC5"/>
    <w:rsid w:val="7FC24649"/>
    <w:rsid w:val="B3CFFBBB"/>
    <w:rsid w:val="D77E3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both"/>
    </w:pPr>
    <w:rPr>
      <w:rFonts w:eastAsia="仿宋_GB2312" w:asciiTheme="minorHAnsi" w:hAnsiTheme="minorHAnsi" w:cstheme="minorBidi"/>
      <w:kern w:val="2"/>
      <w:sz w:val="32"/>
      <w:szCs w:val="24"/>
      <w:lang w:val="en-US" w:eastAsia="zh-CN" w:bidi="ar-SA"/>
    </w:rPr>
  </w:style>
  <w:style w:type="paragraph" w:styleId="3">
    <w:name w:val="heading 1"/>
    <w:basedOn w:val="1"/>
    <w:next w:val="1"/>
    <w:link w:val="18"/>
    <w:qFormat/>
    <w:uiPriority w:val="0"/>
    <w:pPr>
      <w:keepNext/>
      <w:keepLines/>
      <w:outlineLvl w:val="0"/>
    </w:pPr>
    <w:rPr>
      <w:rFonts w:eastAsia="黑体"/>
      <w:bCs/>
      <w:kern w:val="44"/>
      <w:szCs w:val="44"/>
    </w:rPr>
  </w:style>
  <w:style w:type="paragraph" w:styleId="4">
    <w:name w:val="heading 2"/>
    <w:basedOn w:val="1"/>
    <w:next w:val="1"/>
    <w:link w:val="19"/>
    <w:semiHidden/>
    <w:unhideWhenUsed/>
    <w:qFormat/>
    <w:uiPriority w:val="0"/>
    <w:pPr>
      <w:keepNext/>
      <w:keepLines/>
      <w:outlineLvl w:val="1"/>
    </w:pPr>
    <w:rPr>
      <w:rFonts w:eastAsia="楷体_GB2312" w:asciiTheme="majorHAnsi" w:hAnsiTheme="majorHAnsi" w:cstheme="majorBidi"/>
      <w:bCs/>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BodyTextIndent2"/>
    <w:qFormat/>
    <w:uiPriority w:val="0"/>
    <w:pPr>
      <w:widowControl w:val="0"/>
      <w:spacing w:after="120" w:line="480" w:lineRule="auto"/>
      <w:ind w:left="420" w:leftChars="200"/>
      <w:jc w:val="both"/>
      <w:textAlignment w:val="baseline"/>
    </w:pPr>
    <w:rPr>
      <w:rFonts w:ascii="Calibri" w:hAnsi="Calibri" w:eastAsia="宋体" w:cs="Times New Roman"/>
      <w:kern w:val="2"/>
      <w:sz w:val="21"/>
      <w:szCs w:val="22"/>
      <w:lang w:val="en-US" w:eastAsia="zh-CN" w:bidi="ar-SA"/>
    </w:rPr>
  </w:style>
  <w:style w:type="paragraph" w:styleId="5">
    <w:name w:val="annotation text"/>
    <w:basedOn w:val="1"/>
    <w:link w:val="25"/>
    <w:qFormat/>
    <w:uiPriority w:val="0"/>
    <w:pPr>
      <w:jc w:val="left"/>
    </w:pPr>
  </w:style>
  <w:style w:type="paragraph" w:styleId="6">
    <w:name w:val="Body Text"/>
    <w:basedOn w:val="1"/>
    <w:semiHidden/>
    <w:unhideWhenUsed/>
    <w:qFormat/>
    <w:uiPriority w:val="99"/>
    <w:pPr>
      <w:spacing w:after="120"/>
    </w:pPr>
  </w:style>
  <w:style w:type="paragraph" w:styleId="7">
    <w:name w:val="footer"/>
    <w:basedOn w:val="1"/>
    <w:link w:val="21"/>
    <w:qFormat/>
    <w:uiPriority w:val="0"/>
    <w:pPr>
      <w:tabs>
        <w:tab w:val="center" w:pos="4153"/>
        <w:tab w:val="right" w:pos="8306"/>
      </w:tabs>
      <w:snapToGrid w:val="0"/>
      <w:spacing w:line="240" w:lineRule="atLeast"/>
      <w:jc w:val="left"/>
    </w:pPr>
    <w:rPr>
      <w:sz w:val="18"/>
      <w:szCs w:val="18"/>
    </w:rPr>
  </w:style>
  <w:style w:type="paragraph" w:styleId="8">
    <w:name w:val="header"/>
    <w:basedOn w:val="1"/>
    <w:link w:val="20"/>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9">
    <w:name w:val="Normal (Web)"/>
    <w:basedOn w:val="1"/>
    <w:qFormat/>
    <w:uiPriority w:val="0"/>
    <w:rPr>
      <w:rFonts w:ascii="Times New Roman" w:hAnsi="Times New Roman" w:cs="Times New Roman"/>
      <w:sz w:val="24"/>
    </w:rPr>
  </w:style>
  <w:style w:type="paragraph" w:styleId="10">
    <w:name w:val="Title"/>
    <w:basedOn w:val="1"/>
    <w:next w:val="1"/>
    <w:link w:val="17"/>
    <w:qFormat/>
    <w:uiPriority w:val="0"/>
    <w:pPr>
      <w:jc w:val="center"/>
      <w:outlineLvl w:val="0"/>
    </w:pPr>
    <w:rPr>
      <w:rFonts w:eastAsia="方正小标宋简体" w:asciiTheme="majorHAnsi" w:hAnsiTheme="majorHAnsi" w:cstheme="majorBidi"/>
      <w:bCs/>
      <w:sz w:val="44"/>
      <w:szCs w:val="32"/>
    </w:rPr>
  </w:style>
  <w:style w:type="paragraph" w:styleId="11">
    <w:name w:val="annotation subject"/>
    <w:basedOn w:val="5"/>
    <w:next w:val="5"/>
    <w:link w:val="26"/>
    <w:qFormat/>
    <w:uiPriority w:val="0"/>
    <w:rPr>
      <w:b/>
      <w:bCs/>
    </w:rPr>
  </w:style>
  <w:style w:type="paragraph" w:styleId="12">
    <w:name w:val="Body Text First Indent"/>
    <w:basedOn w:val="6"/>
    <w:unhideWhenUsed/>
    <w:qFormat/>
    <w:uiPriority w:val="99"/>
    <w:pPr>
      <w:suppressAutoHyphens/>
      <w:ind w:firstLine="200" w:firstLineChars="200"/>
      <w:jc w:val="center"/>
    </w:pPr>
    <w:rPr>
      <w:rFonts w:ascii="Calibri" w:hAnsi="Calibri" w:eastAsia="宋体" w:cs="Calibri"/>
      <w:b/>
      <w:bCs/>
      <w:sz w:val="44"/>
      <w:szCs w:val="44"/>
    </w:rPr>
  </w:style>
  <w:style w:type="character" w:styleId="15">
    <w:name w:val="Strong"/>
    <w:basedOn w:val="14"/>
    <w:qFormat/>
    <w:uiPriority w:val="0"/>
    <w:rPr>
      <w:b/>
    </w:rPr>
  </w:style>
  <w:style w:type="character" w:styleId="16">
    <w:name w:val="annotation reference"/>
    <w:basedOn w:val="14"/>
    <w:qFormat/>
    <w:uiPriority w:val="0"/>
    <w:rPr>
      <w:sz w:val="21"/>
      <w:szCs w:val="21"/>
    </w:rPr>
  </w:style>
  <w:style w:type="character" w:customStyle="1" w:styleId="17">
    <w:name w:val="标题 字符"/>
    <w:basedOn w:val="14"/>
    <w:link w:val="10"/>
    <w:qFormat/>
    <w:uiPriority w:val="0"/>
    <w:rPr>
      <w:rFonts w:eastAsia="方正小标宋简体" w:asciiTheme="majorHAnsi" w:hAnsiTheme="majorHAnsi" w:cstheme="majorBidi"/>
      <w:bCs/>
      <w:kern w:val="2"/>
      <w:sz w:val="44"/>
      <w:szCs w:val="32"/>
    </w:rPr>
  </w:style>
  <w:style w:type="character" w:customStyle="1" w:styleId="18">
    <w:name w:val="标题 1 字符"/>
    <w:basedOn w:val="14"/>
    <w:link w:val="3"/>
    <w:qFormat/>
    <w:uiPriority w:val="0"/>
    <w:rPr>
      <w:rFonts w:eastAsia="黑体" w:asciiTheme="minorHAnsi" w:hAnsiTheme="minorHAnsi" w:cstheme="minorBidi"/>
      <w:bCs/>
      <w:kern w:val="44"/>
      <w:sz w:val="32"/>
      <w:szCs w:val="44"/>
    </w:rPr>
  </w:style>
  <w:style w:type="character" w:customStyle="1" w:styleId="19">
    <w:name w:val="标题 2 字符"/>
    <w:basedOn w:val="14"/>
    <w:link w:val="4"/>
    <w:semiHidden/>
    <w:qFormat/>
    <w:uiPriority w:val="0"/>
    <w:rPr>
      <w:rFonts w:eastAsia="楷体_GB2312" w:asciiTheme="majorHAnsi" w:hAnsiTheme="majorHAnsi" w:cstheme="majorBidi"/>
      <w:bCs/>
      <w:kern w:val="2"/>
      <w:sz w:val="32"/>
      <w:szCs w:val="32"/>
    </w:rPr>
  </w:style>
  <w:style w:type="character" w:customStyle="1" w:styleId="20">
    <w:name w:val="页眉 字符"/>
    <w:basedOn w:val="14"/>
    <w:link w:val="8"/>
    <w:qFormat/>
    <w:uiPriority w:val="0"/>
    <w:rPr>
      <w:rFonts w:eastAsia="仿宋_GB2312" w:asciiTheme="minorHAnsi" w:hAnsiTheme="minorHAnsi" w:cstheme="minorBidi"/>
      <w:kern w:val="2"/>
      <w:sz w:val="18"/>
      <w:szCs w:val="18"/>
    </w:rPr>
  </w:style>
  <w:style w:type="character" w:customStyle="1" w:styleId="21">
    <w:name w:val="页脚 字符"/>
    <w:basedOn w:val="14"/>
    <w:link w:val="7"/>
    <w:qFormat/>
    <w:uiPriority w:val="99"/>
    <w:rPr>
      <w:rFonts w:eastAsia="仿宋_GB2312" w:asciiTheme="minorHAnsi" w:hAnsiTheme="minorHAnsi" w:cstheme="minorBidi"/>
      <w:kern w:val="2"/>
      <w:sz w:val="18"/>
      <w:szCs w:val="18"/>
    </w:rPr>
  </w:style>
  <w:style w:type="paragraph" w:customStyle="1" w:styleId="22">
    <w:name w:val="_Style 5"/>
    <w:qFormat/>
    <w:uiPriority w:val="0"/>
    <w:pPr>
      <w:widowControl w:val="0"/>
      <w:ind w:firstLine="200" w:firstLineChars="200"/>
      <w:jc w:val="both"/>
    </w:pPr>
    <w:rPr>
      <w:rFonts w:ascii="Times New Roman" w:hAnsi="Times New Roman" w:eastAsia="宋体" w:cs="Times New Roman"/>
      <w:kern w:val="2"/>
      <w:sz w:val="24"/>
      <w:lang w:val="en-US" w:eastAsia="zh-CN" w:bidi="ar-SA"/>
    </w:rPr>
  </w:style>
  <w:style w:type="character" w:customStyle="1" w:styleId="23">
    <w:name w:val="公文一黑 Char"/>
    <w:link w:val="24"/>
    <w:qFormat/>
    <w:uiPriority w:val="0"/>
    <w:rPr>
      <w:rFonts w:ascii="黑体" w:hAnsi="黑体" w:eastAsia="黑体" w:cs="Calibri"/>
      <w:sz w:val="32"/>
      <w:szCs w:val="20"/>
    </w:rPr>
  </w:style>
  <w:style w:type="paragraph" w:customStyle="1" w:styleId="24">
    <w:name w:val="公文一黑"/>
    <w:basedOn w:val="1"/>
    <w:link w:val="23"/>
    <w:qFormat/>
    <w:uiPriority w:val="0"/>
    <w:pPr>
      <w:ind w:firstLine="862" w:firstLineChars="200"/>
    </w:pPr>
    <w:rPr>
      <w:rFonts w:ascii="黑体" w:hAnsi="黑体" w:eastAsia="黑体" w:cs="Calibri"/>
      <w:szCs w:val="20"/>
    </w:rPr>
  </w:style>
  <w:style w:type="character" w:customStyle="1" w:styleId="25">
    <w:name w:val="批注文字 字符"/>
    <w:basedOn w:val="14"/>
    <w:link w:val="5"/>
    <w:qFormat/>
    <w:uiPriority w:val="0"/>
    <w:rPr>
      <w:rFonts w:eastAsia="仿宋_GB2312" w:asciiTheme="minorHAnsi" w:hAnsiTheme="minorHAnsi" w:cstheme="minorBidi"/>
      <w:kern w:val="2"/>
      <w:sz w:val="32"/>
      <w:szCs w:val="24"/>
    </w:rPr>
  </w:style>
  <w:style w:type="character" w:customStyle="1" w:styleId="26">
    <w:name w:val="批注主题 字符"/>
    <w:basedOn w:val="25"/>
    <w:link w:val="11"/>
    <w:qFormat/>
    <w:uiPriority w:val="0"/>
    <w:rPr>
      <w:rFonts w:eastAsia="仿宋_GB2312" w:asciiTheme="minorHAnsi" w:hAnsiTheme="minorHAnsi" w:cstheme="minorBidi"/>
      <w:b/>
      <w:bCs/>
      <w:kern w:val="2"/>
      <w:sz w:val="32"/>
      <w:szCs w:val="24"/>
    </w:rPr>
  </w:style>
  <w:style w:type="character" w:customStyle="1" w:styleId="27">
    <w:name w:val="selectable-text"/>
    <w:basedOn w:val="14"/>
    <w:qFormat/>
    <w:uiPriority w:val="0"/>
  </w:style>
  <w:style w:type="paragraph" w:customStyle="1" w:styleId="28">
    <w:name w:val="Revision"/>
    <w:hidden/>
    <w:semiHidden/>
    <w:qFormat/>
    <w:uiPriority w:val="99"/>
    <w:rPr>
      <w:rFonts w:eastAsia="仿宋_GB2312" w:asciiTheme="minorHAnsi" w:hAnsiTheme="minorHAnsi" w:cstheme="minorBidi"/>
      <w:kern w:val="2"/>
      <w:sz w:val="32"/>
      <w:szCs w:val="24"/>
      <w:lang w:val="en-US" w:eastAsia="zh-CN" w:bidi="ar-SA"/>
    </w:rPr>
  </w:style>
  <w:style w:type="paragraph" w:customStyle="1" w:styleId="29">
    <w:name w:val="法律正文"/>
    <w:basedOn w:val="1"/>
    <w:link w:val="30"/>
    <w:qFormat/>
    <w:uiPriority w:val="0"/>
    <w:pPr>
      <w:snapToGrid w:val="0"/>
      <w:spacing w:line="264" w:lineRule="auto"/>
      <w:ind w:firstLine="200" w:firstLineChars="200"/>
    </w:pPr>
    <w:rPr>
      <w:rFonts w:ascii="仿宋_GB2312"/>
      <w:szCs w:val="32"/>
    </w:rPr>
  </w:style>
  <w:style w:type="character" w:customStyle="1" w:styleId="30">
    <w:name w:val="法律正文 字符"/>
    <w:basedOn w:val="14"/>
    <w:link w:val="29"/>
    <w:qFormat/>
    <w:uiPriority w:val="0"/>
    <w:rPr>
      <w:rFonts w:ascii="仿宋_GB2312" w:eastAsia="仿宋_GB2312" w:hAnsiTheme="minorHAnsi" w:cstheme="minorBidi"/>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省安全生产监督管理局</Company>
  <Pages>13</Pages>
  <Words>6151</Words>
  <Characters>6154</Characters>
  <Lines>48</Lines>
  <Paragraphs>13</Paragraphs>
  <TotalTime>587</TotalTime>
  <ScaleCrop>false</ScaleCrop>
  <LinksUpToDate>false</LinksUpToDate>
  <CharactersWithSpaces>6222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2026-03-22T05:14:00Z</dcterms:created>
  <dc:creator>zfc</dc:creator>
  <cp:lastModifiedBy>DELL</cp:lastModifiedBy>
  <cp:lastPrinted>2018-12-06T06:38:00Z</cp:lastPrinted>
  <dcterms:modified xsi:type="dcterms:W3CDTF">2026-03-23T03:37:29Z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3C6BAA164F59404CA0F26C26B1BA4088_13</vt:lpwstr>
  </property>
  <property fmtid="{D5CDD505-2E9C-101B-9397-08002B2CF9AE}" pid="4" name="showFlag">
    <vt:bool>true</vt:bool>
  </property>
  <property fmtid="{D5CDD505-2E9C-101B-9397-08002B2CF9AE}" pid="5" name="KSOTemplateDocerSaveRecord">
    <vt:lpwstr>eyJoZGlkIjoiYTUzNjQ5ODBmYjI1ZGUyNTY1M2RmZmVhNGJiY2RjNTciLCJ1c2VySWQiOiIxMDI1NDQwNDg4In0=</vt:lpwstr>
  </property>
</Properties>
</file>